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089" w:rsidRPr="00DB4A90" w:rsidRDefault="00137089">
      <w:pPr>
        <w:rPr>
          <w:b/>
          <w:sz w:val="24"/>
          <w:szCs w:val="24"/>
        </w:rPr>
      </w:pPr>
      <w:bookmarkStart w:id="0" w:name="_GoBack"/>
      <w:bookmarkEnd w:id="0"/>
    </w:p>
    <w:p w:rsidR="002F68C4" w:rsidRPr="00DB4A90" w:rsidRDefault="00181F30">
      <w:pPr>
        <w:rPr>
          <w:b/>
          <w:sz w:val="24"/>
          <w:szCs w:val="24"/>
        </w:rPr>
      </w:pPr>
      <w:r w:rsidRPr="00DB4A90">
        <w:rPr>
          <w:b/>
          <w:sz w:val="24"/>
          <w:szCs w:val="24"/>
        </w:rPr>
        <w:t>PLANNING PROPOSAL 24 – LEP REVIEW 2016</w:t>
      </w:r>
      <w:r w:rsidR="00CE01B3">
        <w:rPr>
          <w:b/>
          <w:sz w:val="24"/>
          <w:szCs w:val="24"/>
        </w:rPr>
        <w:t xml:space="preserve">          </w:t>
      </w:r>
      <w:r w:rsidR="00CE01B3">
        <w:rPr>
          <w:b/>
          <w:sz w:val="24"/>
          <w:szCs w:val="24"/>
        </w:rPr>
        <w:tab/>
      </w:r>
      <w:r w:rsidR="00CE01B3">
        <w:rPr>
          <w:b/>
          <w:sz w:val="24"/>
          <w:szCs w:val="24"/>
        </w:rPr>
        <w:tab/>
      </w:r>
      <w:r w:rsidR="00CE01B3">
        <w:rPr>
          <w:b/>
          <w:sz w:val="24"/>
          <w:szCs w:val="24"/>
        </w:rPr>
        <w:tab/>
      </w:r>
      <w:r w:rsidR="00CE01B3">
        <w:rPr>
          <w:b/>
          <w:sz w:val="24"/>
          <w:szCs w:val="24"/>
        </w:rPr>
        <w:tab/>
      </w:r>
      <w:r w:rsidR="00CE01B3">
        <w:rPr>
          <w:b/>
          <w:sz w:val="24"/>
          <w:szCs w:val="24"/>
        </w:rPr>
        <w:tab/>
      </w:r>
      <w:r w:rsidR="00CE01B3">
        <w:rPr>
          <w:b/>
          <w:sz w:val="24"/>
          <w:szCs w:val="24"/>
        </w:rPr>
        <w:tab/>
      </w:r>
      <w:r w:rsidR="00CE01B3">
        <w:rPr>
          <w:b/>
          <w:sz w:val="24"/>
          <w:szCs w:val="24"/>
        </w:rPr>
        <w:tab/>
      </w:r>
      <w:r w:rsidR="00CE01B3">
        <w:rPr>
          <w:b/>
          <w:sz w:val="24"/>
          <w:szCs w:val="24"/>
        </w:rPr>
        <w:tab/>
      </w:r>
      <w:r w:rsidR="00CE01B3">
        <w:rPr>
          <w:b/>
          <w:sz w:val="24"/>
          <w:szCs w:val="24"/>
        </w:rPr>
        <w:tab/>
      </w:r>
      <w:r w:rsidR="00CE01B3">
        <w:rPr>
          <w:b/>
          <w:sz w:val="24"/>
          <w:szCs w:val="24"/>
        </w:rPr>
        <w:tab/>
      </w:r>
      <w:r w:rsidR="00CE01B3">
        <w:rPr>
          <w:b/>
          <w:sz w:val="24"/>
          <w:szCs w:val="24"/>
        </w:rPr>
        <w:tab/>
      </w:r>
      <w:r w:rsidR="00CE01B3">
        <w:rPr>
          <w:b/>
          <w:sz w:val="24"/>
          <w:szCs w:val="24"/>
        </w:rPr>
        <w:tab/>
      </w:r>
      <w:r w:rsidR="00CE01B3">
        <w:rPr>
          <w:b/>
          <w:sz w:val="24"/>
          <w:szCs w:val="24"/>
        </w:rPr>
        <w:tab/>
      </w:r>
      <w:r w:rsidR="00CE01B3" w:rsidRPr="00CE01B3">
        <w:rPr>
          <w:b/>
          <w:sz w:val="28"/>
          <w:szCs w:val="28"/>
        </w:rPr>
        <w:t>AT B</w:t>
      </w:r>
    </w:p>
    <w:p w:rsidR="00236DAA" w:rsidRPr="00DB4A90" w:rsidRDefault="00236DAA">
      <w:pPr>
        <w:rPr>
          <w:b/>
          <w:sz w:val="24"/>
          <w:szCs w:val="24"/>
        </w:rPr>
      </w:pPr>
      <w:r w:rsidRPr="00DB4A90">
        <w:rPr>
          <w:rFonts w:ascii="Arial" w:eastAsia="Times New Roman" w:hAnsi="Arial" w:cs="Arial"/>
          <w:sz w:val="20"/>
          <w:szCs w:val="20"/>
          <w:lang w:val="en-US" w:eastAsia="en-AU"/>
        </w:rPr>
        <w:t>Note: Requesting delegation for the General Manager for the planning proposal</w:t>
      </w:r>
    </w:p>
    <w:tbl>
      <w:tblPr>
        <w:tblStyle w:val="TableGrid"/>
        <w:tblW w:w="14997" w:type="dxa"/>
        <w:tblInd w:w="-5" w:type="dxa"/>
        <w:tblLook w:val="04A0" w:firstRow="1" w:lastRow="0" w:firstColumn="1" w:lastColumn="0" w:noHBand="0" w:noVBand="1"/>
      </w:tblPr>
      <w:tblGrid>
        <w:gridCol w:w="504"/>
        <w:gridCol w:w="1652"/>
        <w:gridCol w:w="4803"/>
        <w:gridCol w:w="6871"/>
        <w:gridCol w:w="1167"/>
      </w:tblGrid>
      <w:tr w:rsidR="00DE787A" w:rsidRPr="00DB4A90" w:rsidTr="00DE787A">
        <w:tc>
          <w:tcPr>
            <w:tcW w:w="504" w:type="dxa"/>
          </w:tcPr>
          <w:p w:rsidR="00DE787A" w:rsidRPr="00DB4A90" w:rsidRDefault="00DE787A" w:rsidP="00181F30">
            <w:pPr>
              <w:rPr>
                <w:b/>
                <w:sz w:val="24"/>
                <w:szCs w:val="24"/>
              </w:rPr>
            </w:pPr>
            <w:r w:rsidRPr="00DB4A90">
              <w:rPr>
                <w:b/>
                <w:sz w:val="24"/>
                <w:szCs w:val="24"/>
              </w:rPr>
              <w:t>No</w:t>
            </w:r>
          </w:p>
        </w:tc>
        <w:tc>
          <w:tcPr>
            <w:tcW w:w="1652" w:type="dxa"/>
          </w:tcPr>
          <w:p w:rsidR="00DE787A" w:rsidRPr="00DB4A90" w:rsidRDefault="00DE787A" w:rsidP="00181F30">
            <w:pPr>
              <w:rPr>
                <w:b/>
                <w:sz w:val="24"/>
                <w:szCs w:val="24"/>
              </w:rPr>
            </w:pPr>
            <w:r w:rsidRPr="00DB4A90">
              <w:rPr>
                <w:b/>
                <w:sz w:val="24"/>
                <w:szCs w:val="24"/>
              </w:rPr>
              <w:t>LEP ref.</w:t>
            </w:r>
          </w:p>
        </w:tc>
        <w:tc>
          <w:tcPr>
            <w:tcW w:w="4803" w:type="dxa"/>
          </w:tcPr>
          <w:p w:rsidR="00DE787A" w:rsidRPr="00DB4A90" w:rsidRDefault="00DE787A" w:rsidP="00181F30">
            <w:pPr>
              <w:rPr>
                <w:b/>
                <w:sz w:val="24"/>
                <w:szCs w:val="24"/>
              </w:rPr>
            </w:pPr>
            <w:r w:rsidRPr="00DB4A90">
              <w:rPr>
                <w:b/>
                <w:sz w:val="24"/>
                <w:szCs w:val="24"/>
              </w:rPr>
              <w:t>Amendment</w:t>
            </w:r>
          </w:p>
        </w:tc>
        <w:tc>
          <w:tcPr>
            <w:tcW w:w="6871" w:type="dxa"/>
          </w:tcPr>
          <w:p w:rsidR="00DE787A" w:rsidRPr="00DB4A90" w:rsidRDefault="00DE787A" w:rsidP="007E6DFE">
            <w:pPr>
              <w:rPr>
                <w:b/>
                <w:sz w:val="24"/>
                <w:szCs w:val="24"/>
              </w:rPr>
            </w:pPr>
            <w:r w:rsidRPr="00DB4A90">
              <w:rPr>
                <w:b/>
                <w:sz w:val="24"/>
                <w:szCs w:val="24"/>
              </w:rPr>
              <w:t>Explanation of Provisions</w:t>
            </w:r>
          </w:p>
        </w:tc>
        <w:tc>
          <w:tcPr>
            <w:tcW w:w="1167" w:type="dxa"/>
          </w:tcPr>
          <w:p w:rsidR="00DE787A" w:rsidRPr="00DB4A90" w:rsidRDefault="00DE787A" w:rsidP="008C5B8E">
            <w:pPr>
              <w:rPr>
                <w:b/>
                <w:sz w:val="24"/>
                <w:szCs w:val="24"/>
              </w:rPr>
            </w:pPr>
            <w:r w:rsidRPr="00DB4A90">
              <w:rPr>
                <w:b/>
                <w:sz w:val="24"/>
                <w:szCs w:val="24"/>
              </w:rPr>
              <w:t>Council resltn/ Excel sched</w:t>
            </w:r>
            <w:r w:rsidR="008C5B8E" w:rsidRPr="00DB4A90">
              <w:rPr>
                <w:b/>
                <w:sz w:val="24"/>
                <w:szCs w:val="24"/>
              </w:rPr>
              <w:t>ule</w:t>
            </w:r>
          </w:p>
        </w:tc>
      </w:tr>
      <w:tr w:rsidR="00DE787A" w:rsidRPr="00DB4A90" w:rsidTr="00DE787A">
        <w:tc>
          <w:tcPr>
            <w:tcW w:w="504" w:type="dxa"/>
          </w:tcPr>
          <w:p w:rsidR="00DE787A" w:rsidRPr="00DB4A90" w:rsidRDefault="00DE787A" w:rsidP="005F71A4"/>
        </w:tc>
        <w:tc>
          <w:tcPr>
            <w:tcW w:w="1652" w:type="dxa"/>
          </w:tcPr>
          <w:p w:rsidR="00DE787A" w:rsidRPr="00DB4A90" w:rsidRDefault="00260810" w:rsidP="005F71A4">
            <w:pPr>
              <w:rPr>
                <w:b/>
                <w:sz w:val="24"/>
                <w:szCs w:val="24"/>
              </w:rPr>
            </w:pPr>
            <w:r w:rsidRPr="00DB4A90">
              <w:rPr>
                <w:b/>
                <w:sz w:val="24"/>
                <w:szCs w:val="24"/>
              </w:rPr>
              <w:t xml:space="preserve">LEP </w:t>
            </w:r>
            <w:r w:rsidR="00DE787A" w:rsidRPr="00DB4A90">
              <w:rPr>
                <w:b/>
                <w:sz w:val="24"/>
                <w:szCs w:val="24"/>
              </w:rPr>
              <w:t>TEXT</w:t>
            </w:r>
          </w:p>
          <w:p w:rsidR="00DE787A" w:rsidRPr="00DB4A90" w:rsidRDefault="00DE787A" w:rsidP="005F71A4">
            <w:pPr>
              <w:rPr>
                <w:b/>
              </w:rPr>
            </w:pPr>
          </w:p>
        </w:tc>
        <w:tc>
          <w:tcPr>
            <w:tcW w:w="4803" w:type="dxa"/>
          </w:tcPr>
          <w:p w:rsidR="00DE787A" w:rsidRPr="00DB4A90" w:rsidRDefault="00DE787A" w:rsidP="005F71A4"/>
        </w:tc>
        <w:tc>
          <w:tcPr>
            <w:tcW w:w="6871" w:type="dxa"/>
          </w:tcPr>
          <w:p w:rsidR="00DE787A" w:rsidRPr="00DB4A90" w:rsidRDefault="00DE787A" w:rsidP="005F71A4">
            <w:pPr>
              <w:rPr>
                <w:lang w:val="en-US"/>
              </w:rPr>
            </w:pPr>
          </w:p>
        </w:tc>
        <w:tc>
          <w:tcPr>
            <w:tcW w:w="1167" w:type="dxa"/>
          </w:tcPr>
          <w:p w:rsidR="00DE787A" w:rsidRPr="00DB4A90" w:rsidRDefault="00DE787A" w:rsidP="005F71A4"/>
        </w:tc>
      </w:tr>
      <w:tr w:rsidR="00DE787A" w:rsidRPr="00DB4A90" w:rsidTr="00DE787A">
        <w:tc>
          <w:tcPr>
            <w:tcW w:w="504" w:type="dxa"/>
          </w:tcPr>
          <w:p w:rsidR="00DE787A" w:rsidRPr="00DB4A90" w:rsidRDefault="00DE787A" w:rsidP="005F71A4">
            <w:pPr>
              <w:rPr>
                <w:rFonts w:ascii="Arial" w:hAnsi="Arial" w:cs="Arial"/>
                <w:sz w:val="20"/>
                <w:szCs w:val="20"/>
              </w:rPr>
            </w:pPr>
          </w:p>
        </w:tc>
        <w:tc>
          <w:tcPr>
            <w:tcW w:w="1652" w:type="dxa"/>
          </w:tcPr>
          <w:p w:rsidR="00DE787A" w:rsidRPr="00DB4A90" w:rsidRDefault="00DE787A" w:rsidP="00DE787A">
            <w:pPr>
              <w:rPr>
                <w:rFonts w:ascii="Arial" w:hAnsi="Arial" w:cs="Arial"/>
                <w:b/>
                <w:sz w:val="21"/>
                <w:szCs w:val="21"/>
              </w:rPr>
            </w:pPr>
            <w:r w:rsidRPr="00DB4A90">
              <w:rPr>
                <w:rFonts w:ascii="Arial" w:hAnsi="Arial" w:cs="Arial"/>
                <w:b/>
                <w:sz w:val="21"/>
                <w:szCs w:val="21"/>
              </w:rPr>
              <w:t xml:space="preserve">Zoning </w:t>
            </w:r>
          </w:p>
        </w:tc>
        <w:tc>
          <w:tcPr>
            <w:tcW w:w="4803" w:type="dxa"/>
          </w:tcPr>
          <w:p w:rsidR="00DE787A" w:rsidRPr="00DB4A90" w:rsidRDefault="00DE787A" w:rsidP="00A001E6">
            <w:pPr>
              <w:rPr>
                <w:rFonts w:ascii="Arial" w:hAnsi="Arial" w:cs="Arial"/>
                <w:sz w:val="20"/>
                <w:szCs w:val="20"/>
              </w:rPr>
            </w:pPr>
          </w:p>
        </w:tc>
        <w:tc>
          <w:tcPr>
            <w:tcW w:w="6871" w:type="dxa"/>
          </w:tcPr>
          <w:p w:rsidR="00DE787A" w:rsidRPr="00DB4A90" w:rsidRDefault="00DE787A" w:rsidP="005F71A4">
            <w:pPr>
              <w:rPr>
                <w:rFonts w:ascii="Arial" w:hAnsi="Arial" w:cs="Arial"/>
                <w:sz w:val="20"/>
                <w:szCs w:val="20"/>
              </w:rPr>
            </w:pPr>
          </w:p>
        </w:tc>
        <w:tc>
          <w:tcPr>
            <w:tcW w:w="1167" w:type="dxa"/>
          </w:tcPr>
          <w:p w:rsidR="00DE787A" w:rsidRPr="00DB4A90" w:rsidRDefault="00DE787A" w:rsidP="005F71A4">
            <w:pPr>
              <w:rPr>
                <w:rFonts w:ascii="Arial" w:hAnsi="Arial" w:cs="Arial"/>
                <w:sz w:val="20"/>
                <w:szCs w:val="20"/>
              </w:rPr>
            </w:pPr>
          </w:p>
        </w:tc>
      </w:tr>
      <w:tr w:rsidR="00DE787A" w:rsidRPr="00DB4A90" w:rsidTr="00DE787A">
        <w:tc>
          <w:tcPr>
            <w:tcW w:w="504" w:type="dxa"/>
          </w:tcPr>
          <w:p w:rsidR="00DE787A" w:rsidRPr="00DB4A90" w:rsidRDefault="00DE787A" w:rsidP="005F71A4">
            <w:pPr>
              <w:rPr>
                <w:rFonts w:ascii="Arial" w:hAnsi="Arial" w:cs="Arial"/>
                <w:sz w:val="20"/>
                <w:szCs w:val="20"/>
              </w:rPr>
            </w:pPr>
            <w:r w:rsidRPr="00DB4A90">
              <w:rPr>
                <w:rFonts w:ascii="Arial" w:hAnsi="Arial" w:cs="Arial"/>
                <w:sz w:val="20"/>
                <w:szCs w:val="20"/>
              </w:rPr>
              <w:t>1</w:t>
            </w:r>
          </w:p>
        </w:tc>
        <w:tc>
          <w:tcPr>
            <w:tcW w:w="1652" w:type="dxa"/>
          </w:tcPr>
          <w:p w:rsidR="00DE787A" w:rsidRPr="00DB4A90" w:rsidRDefault="00DE787A" w:rsidP="005F71A4">
            <w:pPr>
              <w:rPr>
                <w:rFonts w:ascii="Arial" w:hAnsi="Arial" w:cs="Arial"/>
                <w:sz w:val="20"/>
                <w:szCs w:val="20"/>
              </w:rPr>
            </w:pPr>
            <w:r w:rsidRPr="00DB4A90">
              <w:rPr>
                <w:rFonts w:ascii="Arial" w:hAnsi="Arial" w:cs="Arial"/>
                <w:sz w:val="20"/>
                <w:szCs w:val="20"/>
              </w:rPr>
              <w:t>R4 Zone</w:t>
            </w:r>
          </w:p>
          <w:p w:rsidR="00DE787A" w:rsidRPr="00DB4A90" w:rsidRDefault="00DE787A" w:rsidP="005F71A4">
            <w:pPr>
              <w:rPr>
                <w:rFonts w:ascii="Arial" w:hAnsi="Arial" w:cs="Arial"/>
                <w:sz w:val="20"/>
                <w:szCs w:val="20"/>
              </w:rPr>
            </w:pPr>
            <w:r w:rsidRPr="00DB4A90">
              <w:rPr>
                <w:rFonts w:ascii="Arial" w:hAnsi="Arial" w:cs="Arial"/>
                <w:sz w:val="20"/>
                <w:szCs w:val="20"/>
              </w:rPr>
              <w:t>Para. 3</w:t>
            </w:r>
          </w:p>
        </w:tc>
        <w:tc>
          <w:tcPr>
            <w:tcW w:w="4803" w:type="dxa"/>
          </w:tcPr>
          <w:p w:rsidR="00DE787A" w:rsidRPr="00DB4A90" w:rsidRDefault="00DE787A" w:rsidP="00A001E6">
            <w:pPr>
              <w:rPr>
                <w:rFonts w:ascii="Arial" w:hAnsi="Arial" w:cs="Arial"/>
                <w:sz w:val="20"/>
                <w:szCs w:val="20"/>
              </w:rPr>
            </w:pPr>
            <w:r w:rsidRPr="00DB4A90">
              <w:rPr>
                <w:rFonts w:ascii="Arial" w:hAnsi="Arial" w:cs="Arial"/>
                <w:sz w:val="20"/>
                <w:szCs w:val="20"/>
              </w:rPr>
              <w:t xml:space="preserve"> Add permissible use with consent:  “</w:t>
            </w:r>
            <w:r w:rsidRPr="00DB4A90">
              <w:rPr>
                <w:rFonts w:ascii="Arial" w:hAnsi="Arial" w:cs="Arial"/>
                <w:bCs/>
                <w:iCs/>
                <w:sz w:val="20"/>
                <w:szCs w:val="20"/>
              </w:rPr>
              <w:t>restaurants or cafes” in the R4 High Density Residential Zone.</w:t>
            </w:r>
          </w:p>
        </w:tc>
        <w:tc>
          <w:tcPr>
            <w:tcW w:w="6871" w:type="dxa"/>
          </w:tcPr>
          <w:p w:rsidR="00F53F89" w:rsidRPr="00DB4A90" w:rsidRDefault="00DE787A" w:rsidP="005F71A4">
            <w:pPr>
              <w:rPr>
                <w:rFonts w:ascii="Arial" w:hAnsi="Arial" w:cs="Arial"/>
                <w:sz w:val="20"/>
                <w:szCs w:val="20"/>
              </w:rPr>
            </w:pPr>
            <w:r w:rsidRPr="00DB4A90">
              <w:rPr>
                <w:rFonts w:ascii="Arial" w:hAnsi="Arial" w:cs="Arial"/>
                <w:sz w:val="20"/>
                <w:szCs w:val="20"/>
              </w:rPr>
              <w:t>To clarify that such uses are per</w:t>
            </w:r>
            <w:r w:rsidR="0073310E" w:rsidRPr="00DB4A90">
              <w:rPr>
                <w:rFonts w:ascii="Arial" w:hAnsi="Arial" w:cs="Arial"/>
                <w:sz w:val="20"/>
                <w:szCs w:val="20"/>
              </w:rPr>
              <w:t>missible, in addition to “neigh</w:t>
            </w:r>
          </w:p>
          <w:p w:rsidR="00DE787A" w:rsidRPr="00DB4A90" w:rsidRDefault="00DE787A" w:rsidP="005F71A4">
            <w:pPr>
              <w:rPr>
                <w:rFonts w:ascii="Arial" w:hAnsi="Arial" w:cs="Arial"/>
                <w:sz w:val="20"/>
                <w:szCs w:val="20"/>
              </w:rPr>
            </w:pPr>
            <w:r w:rsidRPr="00DB4A90">
              <w:rPr>
                <w:rFonts w:ascii="Arial" w:hAnsi="Arial" w:cs="Arial"/>
                <w:sz w:val="20"/>
                <w:szCs w:val="20"/>
              </w:rPr>
              <w:t>bourhood shops”, to add to local amenity in high density areas.</w:t>
            </w:r>
          </w:p>
        </w:tc>
        <w:tc>
          <w:tcPr>
            <w:tcW w:w="1167" w:type="dxa"/>
          </w:tcPr>
          <w:p w:rsidR="00DE787A" w:rsidRPr="00DB4A90" w:rsidRDefault="00DE787A" w:rsidP="005F71A4">
            <w:pPr>
              <w:rPr>
                <w:rFonts w:ascii="Arial" w:hAnsi="Arial" w:cs="Arial"/>
                <w:sz w:val="20"/>
                <w:szCs w:val="20"/>
              </w:rPr>
            </w:pPr>
            <w:r w:rsidRPr="00DB4A90">
              <w:rPr>
                <w:rFonts w:ascii="Arial" w:hAnsi="Arial" w:cs="Arial"/>
                <w:sz w:val="20"/>
                <w:szCs w:val="20"/>
              </w:rPr>
              <w:t>Resolutn 1l Sched. No.58</w:t>
            </w:r>
          </w:p>
        </w:tc>
      </w:tr>
      <w:tr w:rsidR="00DE787A" w:rsidRPr="00DB4A90" w:rsidTr="00DE787A">
        <w:tc>
          <w:tcPr>
            <w:tcW w:w="504" w:type="dxa"/>
          </w:tcPr>
          <w:p w:rsidR="00DE787A" w:rsidRPr="00DB4A90" w:rsidRDefault="00DE787A" w:rsidP="005F71A4">
            <w:pPr>
              <w:rPr>
                <w:rFonts w:ascii="Arial" w:hAnsi="Arial" w:cs="Arial"/>
                <w:sz w:val="20"/>
                <w:szCs w:val="20"/>
              </w:rPr>
            </w:pPr>
            <w:r w:rsidRPr="00DB4A90">
              <w:rPr>
                <w:rFonts w:ascii="Arial" w:hAnsi="Arial" w:cs="Arial"/>
                <w:sz w:val="20"/>
                <w:szCs w:val="20"/>
              </w:rPr>
              <w:t>2</w:t>
            </w:r>
          </w:p>
        </w:tc>
        <w:tc>
          <w:tcPr>
            <w:tcW w:w="1652" w:type="dxa"/>
          </w:tcPr>
          <w:p w:rsidR="00DE787A" w:rsidRPr="00DB4A90" w:rsidRDefault="00DE787A" w:rsidP="005F71A4">
            <w:pPr>
              <w:rPr>
                <w:rFonts w:ascii="Arial" w:hAnsi="Arial" w:cs="Arial"/>
                <w:sz w:val="20"/>
                <w:szCs w:val="20"/>
              </w:rPr>
            </w:pPr>
            <w:r w:rsidRPr="00DB4A90">
              <w:rPr>
                <w:rFonts w:ascii="Arial" w:hAnsi="Arial" w:cs="Arial"/>
                <w:sz w:val="20"/>
                <w:szCs w:val="20"/>
              </w:rPr>
              <w:t>IN2 zone</w:t>
            </w:r>
          </w:p>
          <w:p w:rsidR="00DE787A" w:rsidRPr="00DB4A90" w:rsidRDefault="00DE787A" w:rsidP="005F71A4">
            <w:pPr>
              <w:rPr>
                <w:rFonts w:ascii="Arial" w:hAnsi="Arial" w:cs="Arial"/>
                <w:sz w:val="20"/>
                <w:szCs w:val="20"/>
              </w:rPr>
            </w:pPr>
            <w:r w:rsidRPr="00DB4A90">
              <w:rPr>
                <w:rFonts w:ascii="Arial" w:hAnsi="Arial" w:cs="Arial"/>
                <w:sz w:val="20"/>
                <w:szCs w:val="20"/>
              </w:rPr>
              <w:t>Para 3.</w:t>
            </w:r>
          </w:p>
        </w:tc>
        <w:tc>
          <w:tcPr>
            <w:tcW w:w="4803" w:type="dxa"/>
          </w:tcPr>
          <w:p w:rsidR="00DE787A" w:rsidRPr="00DB4A90" w:rsidRDefault="00DE787A" w:rsidP="005F71A4">
            <w:pPr>
              <w:rPr>
                <w:rFonts w:ascii="Arial" w:hAnsi="Arial" w:cs="Arial"/>
                <w:sz w:val="20"/>
                <w:szCs w:val="20"/>
              </w:rPr>
            </w:pPr>
            <w:r w:rsidRPr="00DB4A90">
              <w:rPr>
                <w:rFonts w:ascii="Arial" w:hAnsi="Arial" w:cs="Arial"/>
                <w:sz w:val="20"/>
                <w:szCs w:val="20"/>
              </w:rPr>
              <w:t xml:space="preserve">Add permissible uses with consent:  </w:t>
            </w:r>
            <w:r w:rsidRPr="00DB4A90">
              <w:rPr>
                <w:rFonts w:ascii="Arial" w:eastAsia="Times New Roman" w:hAnsi="Arial" w:cs="Arial"/>
                <w:sz w:val="20"/>
                <w:szCs w:val="20"/>
                <w:lang w:val="en-US" w:eastAsia="en-AU"/>
              </w:rPr>
              <w:t>"animal boarding or training establishment", “medical centre” , “vehicle repair station” and “vehicle body repair workshop” in the IN2 Light Industrial  Zone.</w:t>
            </w:r>
          </w:p>
        </w:tc>
        <w:tc>
          <w:tcPr>
            <w:tcW w:w="6871" w:type="dxa"/>
          </w:tcPr>
          <w:p w:rsidR="00DE787A" w:rsidRPr="00DB4A90" w:rsidRDefault="00DE787A" w:rsidP="005F71A4">
            <w:pPr>
              <w:rPr>
                <w:rFonts w:ascii="Arial" w:hAnsi="Arial" w:cs="Arial"/>
                <w:sz w:val="20"/>
                <w:szCs w:val="20"/>
              </w:rPr>
            </w:pPr>
            <w:r w:rsidRPr="00DB4A90">
              <w:rPr>
                <w:rFonts w:ascii="Arial" w:hAnsi="Arial" w:cs="Arial"/>
                <w:sz w:val="20"/>
                <w:szCs w:val="20"/>
                <w:lang w:val="en-US"/>
              </w:rPr>
              <w:t>To ensure services in the area meet the needs of the workforce of around 7,000 employees in the lane Cove West industrial area.</w:t>
            </w:r>
          </w:p>
        </w:tc>
        <w:tc>
          <w:tcPr>
            <w:tcW w:w="1167" w:type="dxa"/>
          </w:tcPr>
          <w:p w:rsidR="00DE787A" w:rsidRPr="00DB4A90" w:rsidRDefault="00DE787A" w:rsidP="005F71A4">
            <w:pPr>
              <w:rPr>
                <w:rFonts w:ascii="Arial" w:hAnsi="Arial" w:cs="Arial"/>
                <w:sz w:val="20"/>
                <w:szCs w:val="20"/>
              </w:rPr>
            </w:pPr>
            <w:r w:rsidRPr="00DB4A90">
              <w:rPr>
                <w:rFonts w:ascii="Arial" w:hAnsi="Arial" w:cs="Arial"/>
                <w:sz w:val="20"/>
                <w:szCs w:val="20"/>
              </w:rPr>
              <w:t>Resolutns 1b. 1k and 1l, Sched. No.48</w:t>
            </w:r>
          </w:p>
        </w:tc>
      </w:tr>
      <w:tr w:rsidR="00DE787A" w:rsidRPr="00DB4A90" w:rsidTr="00DE787A">
        <w:tc>
          <w:tcPr>
            <w:tcW w:w="504" w:type="dxa"/>
          </w:tcPr>
          <w:p w:rsidR="00DE787A" w:rsidRPr="00DB4A90" w:rsidRDefault="00DE787A" w:rsidP="005F71A4">
            <w:pPr>
              <w:rPr>
                <w:rFonts w:ascii="Arial" w:hAnsi="Arial" w:cs="Arial"/>
                <w:sz w:val="20"/>
                <w:szCs w:val="20"/>
              </w:rPr>
            </w:pPr>
          </w:p>
        </w:tc>
        <w:tc>
          <w:tcPr>
            <w:tcW w:w="1652" w:type="dxa"/>
          </w:tcPr>
          <w:p w:rsidR="00DE787A" w:rsidRPr="00DB4A90" w:rsidRDefault="00DE787A" w:rsidP="005F71A4">
            <w:pPr>
              <w:rPr>
                <w:rFonts w:ascii="Arial" w:hAnsi="Arial" w:cs="Arial"/>
                <w:sz w:val="20"/>
                <w:szCs w:val="20"/>
              </w:rPr>
            </w:pPr>
            <w:r w:rsidRPr="00DB4A90">
              <w:rPr>
                <w:rFonts w:ascii="Arial" w:hAnsi="Arial" w:cs="Arial"/>
                <w:b/>
                <w:sz w:val="21"/>
                <w:szCs w:val="21"/>
              </w:rPr>
              <w:t>Development standards</w:t>
            </w:r>
          </w:p>
        </w:tc>
        <w:tc>
          <w:tcPr>
            <w:tcW w:w="4803" w:type="dxa"/>
          </w:tcPr>
          <w:p w:rsidR="00DE787A" w:rsidRPr="00DB4A90" w:rsidRDefault="00DE787A" w:rsidP="005F71A4">
            <w:pPr>
              <w:spacing w:before="120"/>
              <w:ind w:left="175" w:hanging="272"/>
              <w:rPr>
                <w:rFonts w:ascii="Arial" w:eastAsia="Times New Roman" w:hAnsi="Arial" w:cs="Arial"/>
                <w:sz w:val="20"/>
                <w:szCs w:val="20"/>
                <w:lang w:val="en-US" w:eastAsia="en-AU"/>
              </w:rPr>
            </w:pPr>
          </w:p>
        </w:tc>
        <w:tc>
          <w:tcPr>
            <w:tcW w:w="6871" w:type="dxa"/>
          </w:tcPr>
          <w:p w:rsidR="00DE787A" w:rsidRPr="00DB4A90" w:rsidRDefault="00DE787A" w:rsidP="005F71A4">
            <w:pPr>
              <w:rPr>
                <w:rFonts w:ascii="Arial" w:hAnsi="Arial" w:cs="Arial"/>
                <w:sz w:val="20"/>
                <w:szCs w:val="20"/>
                <w:lang w:val="en-US"/>
              </w:rPr>
            </w:pPr>
          </w:p>
        </w:tc>
        <w:tc>
          <w:tcPr>
            <w:tcW w:w="1167" w:type="dxa"/>
          </w:tcPr>
          <w:p w:rsidR="00DE787A" w:rsidRPr="00DB4A90" w:rsidRDefault="00DE787A" w:rsidP="005F71A4">
            <w:pPr>
              <w:rPr>
                <w:rFonts w:ascii="Arial" w:hAnsi="Arial" w:cs="Arial"/>
                <w:sz w:val="20"/>
                <w:szCs w:val="20"/>
              </w:rPr>
            </w:pPr>
          </w:p>
        </w:tc>
      </w:tr>
      <w:tr w:rsidR="00DE787A" w:rsidRPr="00DB4A90" w:rsidTr="00DE787A">
        <w:tc>
          <w:tcPr>
            <w:tcW w:w="504" w:type="dxa"/>
          </w:tcPr>
          <w:p w:rsidR="00DE787A" w:rsidRPr="00DB4A90" w:rsidRDefault="00DE787A" w:rsidP="005F71A4">
            <w:pPr>
              <w:rPr>
                <w:rFonts w:ascii="Arial" w:hAnsi="Arial" w:cs="Arial"/>
                <w:sz w:val="20"/>
                <w:szCs w:val="20"/>
              </w:rPr>
            </w:pPr>
            <w:r w:rsidRPr="00DB4A90">
              <w:rPr>
                <w:rFonts w:ascii="Arial" w:hAnsi="Arial" w:cs="Arial"/>
                <w:sz w:val="20"/>
                <w:szCs w:val="20"/>
              </w:rPr>
              <w:t>3</w:t>
            </w:r>
          </w:p>
        </w:tc>
        <w:tc>
          <w:tcPr>
            <w:tcW w:w="1652" w:type="dxa"/>
          </w:tcPr>
          <w:p w:rsidR="00DE787A" w:rsidRPr="00DB4A90" w:rsidRDefault="00DE787A" w:rsidP="005F71A4">
            <w:pPr>
              <w:rPr>
                <w:rFonts w:ascii="Arial" w:hAnsi="Arial" w:cs="Arial"/>
                <w:sz w:val="20"/>
                <w:szCs w:val="20"/>
              </w:rPr>
            </w:pPr>
            <w:r w:rsidRPr="00DB4A90">
              <w:rPr>
                <w:rFonts w:ascii="Arial" w:hAnsi="Arial" w:cs="Arial"/>
                <w:sz w:val="20"/>
                <w:szCs w:val="20"/>
              </w:rPr>
              <w:t>Cl.4.1</w:t>
            </w:r>
          </w:p>
        </w:tc>
        <w:tc>
          <w:tcPr>
            <w:tcW w:w="4803" w:type="dxa"/>
          </w:tcPr>
          <w:p w:rsidR="00DE787A" w:rsidRPr="00DB4A90" w:rsidRDefault="00DE787A" w:rsidP="005F71A4">
            <w:pPr>
              <w:spacing w:before="120"/>
              <w:ind w:left="175" w:hanging="272"/>
              <w:rPr>
                <w:rFonts w:ascii="Arial" w:eastAsia="Times New Roman" w:hAnsi="Arial" w:cs="Arial"/>
                <w:sz w:val="20"/>
                <w:szCs w:val="20"/>
                <w:lang w:val="en-US" w:eastAsia="en-AU"/>
              </w:rPr>
            </w:pPr>
            <w:r w:rsidRPr="00DB4A90">
              <w:rPr>
                <w:rFonts w:ascii="Arial" w:eastAsia="Times New Roman" w:hAnsi="Arial" w:cs="Arial"/>
                <w:sz w:val="20"/>
                <w:szCs w:val="20"/>
                <w:lang w:val="en-US" w:eastAsia="en-AU"/>
              </w:rPr>
              <w:t>Add:</w:t>
            </w:r>
          </w:p>
          <w:p w:rsidR="00DE787A" w:rsidRPr="00DB4A90" w:rsidRDefault="00DE787A" w:rsidP="005F71A4">
            <w:pPr>
              <w:spacing w:before="120"/>
              <w:ind w:left="175" w:hanging="272"/>
              <w:rPr>
                <w:rFonts w:ascii="Arial" w:eastAsia="Times New Roman" w:hAnsi="Arial" w:cs="Arial"/>
                <w:sz w:val="20"/>
                <w:szCs w:val="20"/>
                <w:lang w:eastAsia="en-AU"/>
              </w:rPr>
            </w:pPr>
            <w:r w:rsidRPr="00DB4A90">
              <w:rPr>
                <w:rFonts w:ascii="Arial" w:eastAsia="Times New Roman" w:hAnsi="Arial" w:cs="Arial"/>
                <w:sz w:val="20"/>
                <w:szCs w:val="20"/>
                <w:lang w:val="en-US" w:eastAsia="en-AU"/>
              </w:rPr>
              <w:t>(4B)(i)"Despite any other provision of this Plan, development consent must not be granted to a development application for the subdivision of land on which development for the purpose of dual occupancy is erected or is proposed to be erected if the subdivision would result in each of the dwellings that comprise the dual occupancy being located on separate lots.”</w:t>
            </w:r>
          </w:p>
          <w:p w:rsidR="00DE787A" w:rsidRPr="00DB4A90" w:rsidRDefault="00DE787A" w:rsidP="005F71A4">
            <w:pPr>
              <w:spacing w:before="120"/>
              <w:ind w:left="175" w:hanging="272"/>
              <w:rPr>
                <w:rFonts w:ascii="Arial" w:eastAsia="Times New Roman" w:hAnsi="Arial" w:cs="Arial"/>
                <w:sz w:val="20"/>
                <w:szCs w:val="20"/>
                <w:lang w:eastAsia="en-AU"/>
              </w:rPr>
            </w:pPr>
            <w:r w:rsidRPr="00DB4A90">
              <w:rPr>
                <w:rFonts w:ascii="Arial" w:eastAsia="Times New Roman" w:hAnsi="Arial" w:cs="Arial"/>
                <w:sz w:val="20"/>
                <w:szCs w:val="20"/>
                <w:lang w:val="en-US" w:eastAsia="en-AU"/>
              </w:rPr>
              <w:t>(ii) Subdivision of dual occupancies is to be excluded from the use of cl.4.6.</w:t>
            </w:r>
          </w:p>
          <w:p w:rsidR="00DE787A" w:rsidRPr="00DB4A90" w:rsidRDefault="00DE787A" w:rsidP="005F71A4">
            <w:pPr>
              <w:rPr>
                <w:rFonts w:ascii="Arial" w:hAnsi="Arial" w:cs="Arial"/>
                <w:sz w:val="20"/>
                <w:szCs w:val="20"/>
              </w:rPr>
            </w:pPr>
          </w:p>
        </w:tc>
        <w:tc>
          <w:tcPr>
            <w:tcW w:w="6871" w:type="dxa"/>
          </w:tcPr>
          <w:p w:rsidR="00DE787A" w:rsidRPr="00DB4A90" w:rsidRDefault="00DE787A" w:rsidP="005F71A4">
            <w:pPr>
              <w:rPr>
                <w:rFonts w:ascii="Arial" w:hAnsi="Arial" w:cs="Arial"/>
                <w:sz w:val="20"/>
                <w:szCs w:val="20"/>
                <w:lang w:val="en-US"/>
              </w:rPr>
            </w:pPr>
            <w:r w:rsidRPr="00DB4A90">
              <w:rPr>
                <w:rFonts w:ascii="Arial" w:hAnsi="Arial" w:cs="Arial"/>
                <w:sz w:val="20"/>
                <w:szCs w:val="20"/>
                <w:lang w:val="en-US"/>
              </w:rPr>
              <w:t>It had been understood, in liaison with the Department during drafting of the LEP under the Standard LEP, that the “dual occupancy” definition prevented subdivision.</w:t>
            </w:r>
          </w:p>
          <w:p w:rsidR="00DE787A" w:rsidRPr="00DB4A90" w:rsidRDefault="00DE787A" w:rsidP="005F71A4">
            <w:pPr>
              <w:rPr>
                <w:rFonts w:ascii="Arial" w:hAnsi="Arial" w:cs="Arial"/>
                <w:sz w:val="20"/>
                <w:szCs w:val="20"/>
                <w:lang w:val="en-US"/>
              </w:rPr>
            </w:pPr>
          </w:p>
          <w:p w:rsidR="00DE787A" w:rsidRPr="00DB4A90" w:rsidRDefault="00DE787A" w:rsidP="005F71A4">
            <w:pPr>
              <w:rPr>
                <w:rFonts w:ascii="Arial" w:hAnsi="Arial" w:cs="Arial"/>
                <w:sz w:val="20"/>
                <w:szCs w:val="20"/>
              </w:rPr>
            </w:pPr>
            <w:r w:rsidRPr="00DB4A90">
              <w:rPr>
                <w:rFonts w:ascii="Arial" w:hAnsi="Arial" w:cs="Arial"/>
                <w:sz w:val="20"/>
                <w:szCs w:val="20"/>
                <w:lang w:val="en-US"/>
              </w:rPr>
              <w:t>However, DA applicants frequently query this as a basis for refusals and it is intended now to clarify that dual occupancies may not be subdivided.</w:t>
            </w:r>
          </w:p>
        </w:tc>
        <w:tc>
          <w:tcPr>
            <w:tcW w:w="1167" w:type="dxa"/>
          </w:tcPr>
          <w:p w:rsidR="00DE787A" w:rsidRPr="00DB4A90" w:rsidRDefault="00DE787A" w:rsidP="005F71A4">
            <w:pPr>
              <w:rPr>
                <w:rFonts w:ascii="Arial" w:hAnsi="Arial" w:cs="Arial"/>
                <w:sz w:val="20"/>
                <w:szCs w:val="20"/>
              </w:rPr>
            </w:pPr>
            <w:r w:rsidRPr="00DB4A90">
              <w:rPr>
                <w:rFonts w:ascii="Arial" w:hAnsi="Arial" w:cs="Arial"/>
                <w:sz w:val="20"/>
                <w:szCs w:val="20"/>
              </w:rPr>
              <w:t>Resolutn 1d</w:t>
            </w:r>
          </w:p>
        </w:tc>
      </w:tr>
      <w:tr w:rsidR="00DE787A" w:rsidRPr="00DB4A90" w:rsidTr="00DE787A">
        <w:tc>
          <w:tcPr>
            <w:tcW w:w="504" w:type="dxa"/>
          </w:tcPr>
          <w:p w:rsidR="00DE787A" w:rsidRPr="00DB4A90" w:rsidRDefault="00DE787A" w:rsidP="00181F30">
            <w:pPr>
              <w:rPr>
                <w:rFonts w:ascii="Arial" w:hAnsi="Arial" w:cs="Arial"/>
                <w:sz w:val="20"/>
                <w:szCs w:val="20"/>
              </w:rPr>
            </w:pPr>
            <w:r w:rsidRPr="00DB4A90">
              <w:rPr>
                <w:rFonts w:ascii="Arial" w:hAnsi="Arial" w:cs="Arial"/>
                <w:sz w:val="20"/>
                <w:szCs w:val="20"/>
              </w:rPr>
              <w:t>4</w:t>
            </w:r>
          </w:p>
        </w:tc>
        <w:tc>
          <w:tcPr>
            <w:tcW w:w="1652" w:type="dxa"/>
          </w:tcPr>
          <w:p w:rsidR="00DE787A" w:rsidRPr="00DB4A90" w:rsidRDefault="00DE787A" w:rsidP="00181F30">
            <w:pPr>
              <w:rPr>
                <w:rFonts w:ascii="Arial" w:hAnsi="Arial" w:cs="Arial"/>
                <w:sz w:val="20"/>
                <w:szCs w:val="20"/>
              </w:rPr>
            </w:pPr>
            <w:r w:rsidRPr="00DB4A90">
              <w:rPr>
                <w:rFonts w:ascii="Arial" w:hAnsi="Arial" w:cs="Arial"/>
                <w:sz w:val="20"/>
                <w:szCs w:val="20"/>
              </w:rPr>
              <w:t xml:space="preserve">Cl.4.3 </w:t>
            </w:r>
          </w:p>
        </w:tc>
        <w:tc>
          <w:tcPr>
            <w:tcW w:w="4803" w:type="dxa"/>
          </w:tcPr>
          <w:p w:rsidR="00DE787A" w:rsidRPr="00DB4A90" w:rsidRDefault="00DE787A" w:rsidP="00B81260">
            <w:pPr>
              <w:rPr>
                <w:rFonts w:ascii="Arial" w:eastAsia="Times New Roman" w:hAnsi="Arial" w:cs="Arial"/>
                <w:sz w:val="20"/>
                <w:szCs w:val="20"/>
                <w:lang w:val="en-US" w:eastAsia="en-AU"/>
              </w:rPr>
            </w:pPr>
            <w:r w:rsidRPr="00DB4A90">
              <w:rPr>
                <w:rFonts w:ascii="Arial" w:hAnsi="Arial" w:cs="Arial"/>
                <w:sz w:val="20"/>
                <w:szCs w:val="20"/>
              </w:rPr>
              <w:t>Height Objective</w:t>
            </w:r>
            <w:r w:rsidRPr="00DB4A90">
              <w:rPr>
                <w:rFonts w:ascii="Arial" w:eastAsia="Times New Roman" w:hAnsi="Arial" w:cs="Arial"/>
                <w:sz w:val="20"/>
                <w:szCs w:val="20"/>
                <w:lang w:val="en-US" w:eastAsia="en-AU"/>
              </w:rPr>
              <w:t xml:space="preserve"> to read: </w:t>
            </w:r>
          </w:p>
          <w:p w:rsidR="00DE787A" w:rsidRPr="00DB4A90" w:rsidRDefault="00DE787A" w:rsidP="00B81260">
            <w:pPr>
              <w:rPr>
                <w:rFonts w:ascii="Arial" w:eastAsia="Times New Roman" w:hAnsi="Arial" w:cs="Arial"/>
                <w:sz w:val="20"/>
                <w:szCs w:val="20"/>
                <w:lang w:val="en-US" w:eastAsia="en-AU"/>
              </w:rPr>
            </w:pPr>
            <w:r w:rsidRPr="00DB4A90">
              <w:rPr>
                <w:rFonts w:ascii="Arial" w:eastAsia="Times New Roman" w:hAnsi="Arial" w:cs="Arial"/>
                <w:sz w:val="20"/>
                <w:szCs w:val="20"/>
                <w:lang w:val="en-US" w:eastAsia="en-AU"/>
              </w:rPr>
              <w:t xml:space="preserve"> (1)</w:t>
            </w:r>
          </w:p>
          <w:p w:rsidR="00DE787A" w:rsidRPr="00DB4A90" w:rsidRDefault="00DE787A" w:rsidP="00B81260">
            <w:pPr>
              <w:pStyle w:val="ListParagraph"/>
              <w:numPr>
                <w:ilvl w:val="0"/>
                <w:numId w:val="1"/>
              </w:numPr>
              <w:rPr>
                <w:rFonts w:ascii="Arial" w:hAnsi="Arial" w:cs="Arial"/>
                <w:sz w:val="20"/>
                <w:szCs w:val="20"/>
              </w:rPr>
            </w:pPr>
            <w:r w:rsidRPr="00DB4A90">
              <w:rPr>
                <w:rFonts w:ascii="Arial" w:eastAsia="Times New Roman" w:hAnsi="Arial" w:cs="Arial"/>
                <w:sz w:val="20"/>
                <w:szCs w:val="20"/>
                <w:lang w:val="en-US" w:eastAsia="en-AU"/>
              </w:rPr>
              <w:t xml:space="preserve">“To maintain satisfactory solar access to existing buildings and public areas, and have regard to  </w:t>
            </w:r>
            <w:r w:rsidRPr="00DB4A90">
              <w:rPr>
                <w:rFonts w:ascii="Arial" w:eastAsia="Times New Roman" w:hAnsi="Arial" w:cs="Arial"/>
                <w:sz w:val="20"/>
                <w:szCs w:val="20"/>
                <w:lang w:eastAsia="en-AU"/>
              </w:rPr>
              <w:t>privacy and visual impacts of development on neighbouring properties, particularly where zones meet, and</w:t>
            </w:r>
          </w:p>
          <w:p w:rsidR="00DE787A" w:rsidRPr="00DB4A90" w:rsidRDefault="00DE787A" w:rsidP="00B81260">
            <w:pPr>
              <w:pStyle w:val="ListParagraph"/>
              <w:numPr>
                <w:ilvl w:val="0"/>
                <w:numId w:val="1"/>
              </w:numPr>
              <w:rPr>
                <w:rFonts w:ascii="Arial" w:hAnsi="Arial" w:cs="Arial"/>
                <w:sz w:val="20"/>
                <w:szCs w:val="20"/>
              </w:rPr>
            </w:pPr>
            <w:r w:rsidRPr="00DB4A90">
              <w:rPr>
                <w:rFonts w:ascii="Arial" w:eastAsia="Times New Roman" w:hAnsi="Arial" w:cs="Arial"/>
                <w:sz w:val="20"/>
                <w:szCs w:val="20"/>
                <w:lang w:eastAsia="en-AU"/>
              </w:rPr>
              <w:t>to relate development to topography.</w:t>
            </w:r>
            <w:r w:rsidRPr="00DB4A90">
              <w:rPr>
                <w:rFonts w:ascii="Arial" w:eastAsia="Times New Roman" w:hAnsi="Arial" w:cs="Arial"/>
                <w:sz w:val="20"/>
                <w:szCs w:val="20"/>
                <w:lang w:val="en-US" w:eastAsia="en-AU"/>
              </w:rPr>
              <w:t xml:space="preserve"> ” </w:t>
            </w:r>
          </w:p>
        </w:tc>
        <w:tc>
          <w:tcPr>
            <w:tcW w:w="6871" w:type="dxa"/>
          </w:tcPr>
          <w:p w:rsidR="00DE787A" w:rsidRPr="00DB4A90" w:rsidRDefault="00DE787A" w:rsidP="0022707D">
            <w:pPr>
              <w:rPr>
                <w:rFonts w:ascii="Arial" w:hAnsi="Arial" w:cs="Arial"/>
                <w:sz w:val="20"/>
                <w:szCs w:val="20"/>
              </w:rPr>
            </w:pPr>
            <w:r w:rsidRPr="00DB4A90">
              <w:rPr>
                <w:rFonts w:ascii="Arial" w:hAnsi="Arial" w:cs="Arial"/>
                <w:sz w:val="20"/>
                <w:szCs w:val="20"/>
              </w:rPr>
              <w:t xml:space="preserve">Current wording “to minimise” is theoretically impossible to achieve without demolishing development, especially in an area of transition to higher density, and was adversely commented on by the JRPP as inhibiting the use of cl.4.6 to vary the development standard for a DA on merit. The Ashfield model is the basis for the proposed wording, following review of other councils’ LEPs. </w:t>
            </w:r>
          </w:p>
        </w:tc>
        <w:tc>
          <w:tcPr>
            <w:tcW w:w="1167" w:type="dxa"/>
          </w:tcPr>
          <w:p w:rsidR="00DE787A" w:rsidRPr="00DB4A90" w:rsidRDefault="00DE787A" w:rsidP="00181F30">
            <w:pPr>
              <w:rPr>
                <w:rFonts w:ascii="Arial" w:hAnsi="Arial" w:cs="Arial"/>
                <w:sz w:val="20"/>
                <w:szCs w:val="20"/>
              </w:rPr>
            </w:pPr>
            <w:r w:rsidRPr="00DB4A90">
              <w:rPr>
                <w:rFonts w:ascii="Arial" w:hAnsi="Arial" w:cs="Arial"/>
                <w:sz w:val="20"/>
                <w:szCs w:val="20"/>
              </w:rPr>
              <w:t>Resolutn 1a</w:t>
            </w:r>
          </w:p>
        </w:tc>
      </w:tr>
      <w:tr w:rsidR="00DE787A" w:rsidRPr="00DB4A90" w:rsidTr="00DE787A">
        <w:tc>
          <w:tcPr>
            <w:tcW w:w="504" w:type="dxa"/>
          </w:tcPr>
          <w:p w:rsidR="00DE787A" w:rsidRPr="00DB4A90" w:rsidRDefault="00DE787A" w:rsidP="005F71A4">
            <w:pPr>
              <w:rPr>
                <w:rFonts w:ascii="Arial" w:hAnsi="Arial" w:cs="Arial"/>
                <w:sz w:val="20"/>
                <w:szCs w:val="20"/>
              </w:rPr>
            </w:pPr>
            <w:r w:rsidRPr="00DB4A90">
              <w:rPr>
                <w:rFonts w:ascii="Arial" w:hAnsi="Arial" w:cs="Arial"/>
                <w:sz w:val="20"/>
                <w:szCs w:val="20"/>
              </w:rPr>
              <w:t>5</w:t>
            </w:r>
          </w:p>
        </w:tc>
        <w:tc>
          <w:tcPr>
            <w:tcW w:w="1652" w:type="dxa"/>
          </w:tcPr>
          <w:p w:rsidR="00DE787A" w:rsidRPr="00DB4A90" w:rsidRDefault="00DE787A" w:rsidP="005F71A4">
            <w:pPr>
              <w:rPr>
                <w:rFonts w:ascii="Arial" w:hAnsi="Arial" w:cs="Arial"/>
                <w:sz w:val="20"/>
                <w:szCs w:val="20"/>
              </w:rPr>
            </w:pPr>
            <w:r w:rsidRPr="00DB4A90">
              <w:rPr>
                <w:rFonts w:ascii="Arial" w:hAnsi="Arial" w:cs="Arial"/>
                <w:sz w:val="20"/>
                <w:szCs w:val="20"/>
              </w:rPr>
              <w:t>Cl.4.4</w:t>
            </w:r>
          </w:p>
        </w:tc>
        <w:tc>
          <w:tcPr>
            <w:tcW w:w="4803" w:type="dxa"/>
          </w:tcPr>
          <w:p w:rsidR="00DE787A" w:rsidRPr="00DB4A90" w:rsidRDefault="00DE787A" w:rsidP="005F71A4">
            <w:pPr>
              <w:rPr>
                <w:rFonts w:ascii="Arial" w:hAnsi="Arial" w:cs="Arial"/>
                <w:sz w:val="20"/>
                <w:szCs w:val="20"/>
              </w:rPr>
            </w:pPr>
            <w:r w:rsidRPr="00DB4A90">
              <w:rPr>
                <w:rFonts w:ascii="Arial" w:hAnsi="Arial" w:cs="Arial"/>
                <w:sz w:val="20"/>
                <w:szCs w:val="20"/>
              </w:rPr>
              <w:t>Add: “(2B) If a lot is a battle-axe lot or other lot with an access handle, the area of the access handle is not to be included in the lot size for the purpose of floor space ratio calculation.”</w:t>
            </w:r>
          </w:p>
          <w:p w:rsidR="00DE787A" w:rsidRPr="00DB4A90" w:rsidRDefault="00DE787A" w:rsidP="005F71A4">
            <w:pPr>
              <w:rPr>
                <w:rFonts w:ascii="Arial" w:hAnsi="Arial" w:cs="Arial"/>
                <w:sz w:val="20"/>
                <w:szCs w:val="20"/>
              </w:rPr>
            </w:pPr>
          </w:p>
        </w:tc>
        <w:tc>
          <w:tcPr>
            <w:tcW w:w="6871" w:type="dxa"/>
          </w:tcPr>
          <w:p w:rsidR="00DE787A" w:rsidRPr="00DB4A90" w:rsidRDefault="00DE787A" w:rsidP="005F71A4">
            <w:pPr>
              <w:rPr>
                <w:rFonts w:ascii="Arial" w:hAnsi="Arial" w:cs="Arial"/>
                <w:sz w:val="20"/>
                <w:szCs w:val="20"/>
              </w:rPr>
            </w:pPr>
          </w:p>
        </w:tc>
        <w:tc>
          <w:tcPr>
            <w:tcW w:w="1167" w:type="dxa"/>
          </w:tcPr>
          <w:p w:rsidR="00DE787A" w:rsidRPr="00DB4A90" w:rsidRDefault="00DE787A" w:rsidP="005F71A4">
            <w:pPr>
              <w:rPr>
                <w:rFonts w:ascii="Arial" w:hAnsi="Arial" w:cs="Arial"/>
                <w:sz w:val="20"/>
                <w:szCs w:val="20"/>
              </w:rPr>
            </w:pPr>
            <w:r w:rsidRPr="00DB4A90">
              <w:rPr>
                <w:rFonts w:ascii="Arial" w:hAnsi="Arial" w:cs="Arial"/>
                <w:sz w:val="20"/>
                <w:szCs w:val="20"/>
              </w:rPr>
              <w:t>Resolutn 1j</w:t>
            </w:r>
          </w:p>
        </w:tc>
      </w:tr>
      <w:tr w:rsidR="00DE787A" w:rsidRPr="00DB4A90" w:rsidTr="00DE787A">
        <w:tc>
          <w:tcPr>
            <w:tcW w:w="504" w:type="dxa"/>
          </w:tcPr>
          <w:p w:rsidR="00DE787A" w:rsidRPr="00DB4A90" w:rsidRDefault="00DE787A" w:rsidP="00B65B14">
            <w:pPr>
              <w:rPr>
                <w:rFonts w:ascii="Arial" w:hAnsi="Arial" w:cs="Arial"/>
                <w:sz w:val="20"/>
                <w:szCs w:val="20"/>
              </w:rPr>
            </w:pPr>
          </w:p>
        </w:tc>
        <w:tc>
          <w:tcPr>
            <w:tcW w:w="1652" w:type="dxa"/>
          </w:tcPr>
          <w:p w:rsidR="00DE787A" w:rsidRPr="00DB4A90" w:rsidRDefault="00DE787A" w:rsidP="00DE787A">
            <w:pPr>
              <w:rPr>
                <w:rFonts w:ascii="Arial" w:hAnsi="Arial" w:cs="Arial"/>
                <w:sz w:val="20"/>
                <w:szCs w:val="20"/>
              </w:rPr>
            </w:pPr>
            <w:r w:rsidRPr="00DB4A90">
              <w:rPr>
                <w:rFonts w:ascii="Arial" w:hAnsi="Arial" w:cs="Arial"/>
                <w:b/>
                <w:sz w:val="21"/>
                <w:szCs w:val="21"/>
              </w:rPr>
              <w:t>General</w:t>
            </w:r>
          </w:p>
        </w:tc>
        <w:tc>
          <w:tcPr>
            <w:tcW w:w="4803" w:type="dxa"/>
          </w:tcPr>
          <w:p w:rsidR="00DE787A" w:rsidRPr="00DB4A90" w:rsidRDefault="00DE787A" w:rsidP="00B65B14">
            <w:pPr>
              <w:rPr>
                <w:rFonts w:ascii="Arial" w:hAnsi="Arial" w:cs="Arial"/>
                <w:sz w:val="20"/>
                <w:szCs w:val="20"/>
              </w:rPr>
            </w:pPr>
          </w:p>
        </w:tc>
        <w:tc>
          <w:tcPr>
            <w:tcW w:w="6871" w:type="dxa"/>
          </w:tcPr>
          <w:p w:rsidR="00DE787A" w:rsidRPr="00DB4A90" w:rsidRDefault="00DE787A" w:rsidP="00B65B14">
            <w:pPr>
              <w:rPr>
                <w:rFonts w:ascii="Arial" w:hAnsi="Arial" w:cs="Arial"/>
                <w:sz w:val="20"/>
                <w:szCs w:val="20"/>
                <w:lang w:val="en-US"/>
              </w:rPr>
            </w:pPr>
          </w:p>
        </w:tc>
        <w:tc>
          <w:tcPr>
            <w:tcW w:w="1167" w:type="dxa"/>
          </w:tcPr>
          <w:p w:rsidR="00DE787A" w:rsidRPr="00DB4A90" w:rsidRDefault="00DE787A" w:rsidP="00B65B14">
            <w:pPr>
              <w:rPr>
                <w:rFonts w:ascii="Arial" w:hAnsi="Arial" w:cs="Arial"/>
                <w:sz w:val="20"/>
                <w:szCs w:val="20"/>
              </w:rPr>
            </w:pPr>
          </w:p>
        </w:tc>
      </w:tr>
      <w:tr w:rsidR="00DE787A" w:rsidRPr="00DB4A90" w:rsidTr="00DE787A">
        <w:tc>
          <w:tcPr>
            <w:tcW w:w="504" w:type="dxa"/>
          </w:tcPr>
          <w:p w:rsidR="00DE787A" w:rsidRPr="00DB4A90" w:rsidRDefault="00DE787A" w:rsidP="00B65B14">
            <w:pPr>
              <w:rPr>
                <w:rFonts w:ascii="Arial" w:hAnsi="Arial" w:cs="Arial"/>
                <w:sz w:val="20"/>
                <w:szCs w:val="20"/>
              </w:rPr>
            </w:pPr>
            <w:r w:rsidRPr="00DB4A90">
              <w:rPr>
                <w:rFonts w:ascii="Arial" w:hAnsi="Arial" w:cs="Arial"/>
                <w:sz w:val="20"/>
                <w:szCs w:val="20"/>
              </w:rPr>
              <w:t>6</w:t>
            </w:r>
          </w:p>
        </w:tc>
        <w:tc>
          <w:tcPr>
            <w:tcW w:w="1652" w:type="dxa"/>
          </w:tcPr>
          <w:p w:rsidR="00DE787A" w:rsidRPr="00DB4A90" w:rsidRDefault="00DE787A" w:rsidP="00B65B14">
            <w:pPr>
              <w:rPr>
                <w:rFonts w:ascii="Arial" w:hAnsi="Arial" w:cs="Arial"/>
                <w:sz w:val="20"/>
                <w:szCs w:val="20"/>
              </w:rPr>
            </w:pPr>
            <w:r w:rsidRPr="00DB4A90">
              <w:rPr>
                <w:rFonts w:ascii="Arial" w:hAnsi="Arial" w:cs="Arial"/>
                <w:sz w:val="20"/>
                <w:szCs w:val="20"/>
              </w:rPr>
              <w:t>Cl.5.3</w:t>
            </w:r>
          </w:p>
        </w:tc>
        <w:tc>
          <w:tcPr>
            <w:tcW w:w="4803" w:type="dxa"/>
          </w:tcPr>
          <w:p w:rsidR="00DE787A" w:rsidRPr="00DB4A90" w:rsidRDefault="00DE787A" w:rsidP="00B65B14">
            <w:pPr>
              <w:rPr>
                <w:rFonts w:ascii="Arial" w:hAnsi="Arial" w:cs="Arial"/>
                <w:sz w:val="20"/>
                <w:szCs w:val="20"/>
              </w:rPr>
            </w:pPr>
            <w:r w:rsidRPr="00DB4A90">
              <w:rPr>
                <w:rFonts w:ascii="Arial" w:hAnsi="Arial" w:cs="Arial"/>
                <w:sz w:val="20"/>
                <w:szCs w:val="20"/>
              </w:rPr>
              <w:t>Adopt cl.5.3 of the Standard LEP, including:-</w:t>
            </w:r>
          </w:p>
          <w:p w:rsidR="00DE787A" w:rsidRPr="00DB4A90" w:rsidRDefault="00DE787A" w:rsidP="00A91D8C">
            <w:pPr>
              <w:rPr>
                <w:rFonts w:ascii="Arial" w:hAnsi="Arial" w:cs="Arial"/>
                <w:sz w:val="20"/>
                <w:szCs w:val="20"/>
              </w:rPr>
            </w:pPr>
            <w:r w:rsidRPr="00DB4A90">
              <w:rPr>
                <w:rFonts w:ascii="Arial" w:hAnsi="Arial" w:cs="Arial"/>
                <w:sz w:val="20"/>
                <w:szCs w:val="20"/>
              </w:rPr>
              <w:t>“(2) This clause applies to so much of any land that is within the relevant distance of a boundary between any 2 zones. The relevant distance is 15 metres.”</w:t>
            </w:r>
          </w:p>
        </w:tc>
        <w:tc>
          <w:tcPr>
            <w:tcW w:w="6871" w:type="dxa"/>
          </w:tcPr>
          <w:p w:rsidR="00DE787A" w:rsidRPr="00DB4A90" w:rsidRDefault="00DE787A" w:rsidP="00B65B14">
            <w:pPr>
              <w:rPr>
                <w:rFonts w:ascii="Arial" w:hAnsi="Arial" w:cs="Arial"/>
                <w:sz w:val="20"/>
                <w:szCs w:val="20"/>
              </w:rPr>
            </w:pPr>
            <w:r w:rsidRPr="00DB4A90">
              <w:rPr>
                <w:rFonts w:ascii="Arial" w:hAnsi="Arial" w:cs="Arial"/>
                <w:sz w:val="20"/>
                <w:szCs w:val="20"/>
                <w:lang w:val="en-US"/>
              </w:rPr>
              <w:t xml:space="preserve">Zone boundaries – the standard LEP allows a distance to be specified into an adjacent zone to facilitate appropriate development.  </w:t>
            </w:r>
          </w:p>
        </w:tc>
        <w:tc>
          <w:tcPr>
            <w:tcW w:w="1167" w:type="dxa"/>
          </w:tcPr>
          <w:p w:rsidR="00DE787A" w:rsidRPr="00DB4A90" w:rsidRDefault="00DE787A" w:rsidP="00B65B14">
            <w:pPr>
              <w:rPr>
                <w:rFonts w:ascii="Arial" w:hAnsi="Arial" w:cs="Arial"/>
                <w:sz w:val="20"/>
                <w:szCs w:val="20"/>
              </w:rPr>
            </w:pPr>
            <w:r w:rsidRPr="00DB4A90">
              <w:rPr>
                <w:rFonts w:ascii="Arial" w:hAnsi="Arial" w:cs="Arial"/>
                <w:sz w:val="20"/>
                <w:szCs w:val="20"/>
              </w:rPr>
              <w:t>Resolutn 1c</w:t>
            </w:r>
          </w:p>
        </w:tc>
      </w:tr>
      <w:tr w:rsidR="00DE787A" w:rsidRPr="00DB4A90" w:rsidTr="00DE787A">
        <w:tc>
          <w:tcPr>
            <w:tcW w:w="504" w:type="dxa"/>
          </w:tcPr>
          <w:p w:rsidR="00DE787A" w:rsidRPr="00DB4A90" w:rsidRDefault="00DE787A" w:rsidP="005F71A4">
            <w:pPr>
              <w:rPr>
                <w:rFonts w:ascii="Arial" w:hAnsi="Arial" w:cs="Arial"/>
                <w:sz w:val="20"/>
                <w:szCs w:val="20"/>
              </w:rPr>
            </w:pPr>
            <w:r w:rsidRPr="00DB4A90">
              <w:rPr>
                <w:rFonts w:ascii="Arial" w:hAnsi="Arial" w:cs="Arial"/>
                <w:sz w:val="20"/>
                <w:szCs w:val="20"/>
              </w:rPr>
              <w:lastRenderedPageBreak/>
              <w:t>7</w:t>
            </w:r>
          </w:p>
        </w:tc>
        <w:tc>
          <w:tcPr>
            <w:tcW w:w="1652" w:type="dxa"/>
          </w:tcPr>
          <w:p w:rsidR="00DE787A" w:rsidRPr="00DB4A90" w:rsidRDefault="00DE787A" w:rsidP="005F71A4">
            <w:pPr>
              <w:rPr>
                <w:rFonts w:ascii="Arial" w:hAnsi="Arial" w:cs="Arial"/>
                <w:sz w:val="20"/>
                <w:szCs w:val="20"/>
              </w:rPr>
            </w:pPr>
            <w:r w:rsidRPr="00DB4A90">
              <w:rPr>
                <w:rFonts w:ascii="Arial" w:hAnsi="Arial" w:cs="Arial"/>
                <w:sz w:val="20"/>
                <w:szCs w:val="20"/>
              </w:rPr>
              <w:t>Cl.6.1(6)</w:t>
            </w:r>
          </w:p>
        </w:tc>
        <w:tc>
          <w:tcPr>
            <w:tcW w:w="4803" w:type="dxa"/>
          </w:tcPr>
          <w:p w:rsidR="00DE787A" w:rsidRPr="00DB4A90" w:rsidRDefault="00DE787A" w:rsidP="004B3CAB">
            <w:pPr>
              <w:rPr>
                <w:rFonts w:ascii="Arial" w:hAnsi="Arial" w:cs="Arial"/>
                <w:sz w:val="20"/>
                <w:szCs w:val="20"/>
              </w:rPr>
            </w:pPr>
            <w:r w:rsidRPr="00DB4A90">
              <w:rPr>
                <w:rFonts w:ascii="Arial" w:hAnsi="Arial" w:cs="Arial"/>
                <w:sz w:val="20"/>
                <w:szCs w:val="20"/>
              </w:rPr>
              <w:t>Edit to read "and" not "or" .</w:t>
            </w:r>
          </w:p>
        </w:tc>
        <w:tc>
          <w:tcPr>
            <w:tcW w:w="6871" w:type="dxa"/>
          </w:tcPr>
          <w:p w:rsidR="00DE787A" w:rsidRPr="00DB4A90" w:rsidRDefault="00DE787A" w:rsidP="005F71A4">
            <w:pPr>
              <w:rPr>
                <w:rFonts w:ascii="Arial" w:hAnsi="Arial" w:cs="Arial"/>
                <w:sz w:val="20"/>
                <w:szCs w:val="20"/>
              </w:rPr>
            </w:pPr>
            <w:r w:rsidRPr="00DB4A90">
              <w:t>To ensure that works are both (i) less than 1 tonne of soil and (ii) not likely to lower the water table.</w:t>
            </w:r>
          </w:p>
        </w:tc>
        <w:tc>
          <w:tcPr>
            <w:tcW w:w="1167" w:type="dxa"/>
          </w:tcPr>
          <w:p w:rsidR="00DE787A" w:rsidRPr="00DB4A90" w:rsidRDefault="00DE787A" w:rsidP="005F71A4">
            <w:pPr>
              <w:rPr>
                <w:rFonts w:ascii="Arial" w:hAnsi="Arial" w:cs="Arial"/>
                <w:sz w:val="20"/>
                <w:szCs w:val="20"/>
              </w:rPr>
            </w:pPr>
            <w:r w:rsidRPr="00DB4A90">
              <w:rPr>
                <w:rFonts w:ascii="Arial" w:hAnsi="Arial" w:cs="Arial"/>
                <w:sz w:val="20"/>
                <w:szCs w:val="20"/>
              </w:rPr>
              <w:t>Resolutn 1l, Sched. No.53</w:t>
            </w:r>
          </w:p>
        </w:tc>
      </w:tr>
      <w:tr w:rsidR="00DE787A" w:rsidRPr="00DB4A90" w:rsidTr="00DE787A">
        <w:tc>
          <w:tcPr>
            <w:tcW w:w="504" w:type="dxa"/>
          </w:tcPr>
          <w:p w:rsidR="00DE787A" w:rsidRPr="00DB4A90" w:rsidRDefault="00DE787A" w:rsidP="005F71A4">
            <w:pPr>
              <w:rPr>
                <w:rFonts w:ascii="Arial" w:hAnsi="Arial" w:cs="Arial"/>
                <w:sz w:val="20"/>
                <w:szCs w:val="20"/>
              </w:rPr>
            </w:pPr>
          </w:p>
        </w:tc>
        <w:tc>
          <w:tcPr>
            <w:tcW w:w="1652" w:type="dxa"/>
          </w:tcPr>
          <w:p w:rsidR="00DE787A" w:rsidRPr="00DB4A90" w:rsidRDefault="00DE787A" w:rsidP="00DE787A">
            <w:pPr>
              <w:rPr>
                <w:rFonts w:ascii="Arial" w:hAnsi="Arial" w:cs="Arial"/>
                <w:b/>
                <w:sz w:val="21"/>
                <w:szCs w:val="21"/>
              </w:rPr>
            </w:pPr>
            <w:r w:rsidRPr="00DB4A90">
              <w:rPr>
                <w:rFonts w:ascii="Arial" w:hAnsi="Arial" w:cs="Arial"/>
                <w:b/>
                <w:sz w:val="21"/>
                <w:szCs w:val="21"/>
              </w:rPr>
              <w:t>Heritage</w:t>
            </w:r>
          </w:p>
          <w:p w:rsidR="00DE787A" w:rsidRPr="00DB4A90" w:rsidRDefault="0009501F" w:rsidP="0009501F">
            <w:pPr>
              <w:rPr>
                <w:rFonts w:ascii="Arial" w:hAnsi="Arial" w:cs="Arial"/>
                <w:b/>
                <w:sz w:val="20"/>
                <w:szCs w:val="20"/>
              </w:rPr>
            </w:pPr>
            <w:r w:rsidRPr="00DB4A90">
              <w:rPr>
                <w:rFonts w:ascii="Arial" w:hAnsi="Arial" w:cs="Arial"/>
                <w:b/>
                <w:sz w:val="21"/>
                <w:szCs w:val="21"/>
              </w:rPr>
              <w:t>editing</w:t>
            </w:r>
          </w:p>
        </w:tc>
        <w:tc>
          <w:tcPr>
            <w:tcW w:w="4803" w:type="dxa"/>
          </w:tcPr>
          <w:p w:rsidR="00DE787A" w:rsidRPr="00DB4A90" w:rsidRDefault="00DE787A" w:rsidP="00390290">
            <w:pPr>
              <w:rPr>
                <w:rFonts w:ascii="Arial" w:hAnsi="Arial" w:cs="Arial"/>
                <w:sz w:val="20"/>
                <w:szCs w:val="20"/>
              </w:rPr>
            </w:pPr>
          </w:p>
        </w:tc>
        <w:tc>
          <w:tcPr>
            <w:tcW w:w="6871" w:type="dxa"/>
          </w:tcPr>
          <w:p w:rsidR="00DE787A" w:rsidRPr="00DB4A90" w:rsidRDefault="00DE787A" w:rsidP="005F71A4">
            <w:pPr>
              <w:rPr>
                <w:rFonts w:ascii="Arial" w:hAnsi="Arial" w:cs="Arial"/>
                <w:sz w:val="20"/>
                <w:szCs w:val="20"/>
              </w:rPr>
            </w:pPr>
          </w:p>
        </w:tc>
        <w:tc>
          <w:tcPr>
            <w:tcW w:w="1167" w:type="dxa"/>
          </w:tcPr>
          <w:p w:rsidR="00DE787A" w:rsidRPr="00DB4A90" w:rsidRDefault="00DE787A" w:rsidP="005F71A4">
            <w:pPr>
              <w:rPr>
                <w:rFonts w:ascii="Arial" w:hAnsi="Arial" w:cs="Arial"/>
                <w:sz w:val="20"/>
                <w:szCs w:val="20"/>
              </w:rPr>
            </w:pPr>
          </w:p>
        </w:tc>
      </w:tr>
      <w:tr w:rsidR="0000324D" w:rsidRPr="00DB4A90" w:rsidTr="00DE787A">
        <w:tc>
          <w:tcPr>
            <w:tcW w:w="504" w:type="dxa"/>
          </w:tcPr>
          <w:p w:rsidR="0000324D" w:rsidRPr="00DB4A90" w:rsidRDefault="00DC6121" w:rsidP="005F71A4">
            <w:pPr>
              <w:rPr>
                <w:rFonts w:ascii="Arial" w:hAnsi="Arial" w:cs="Arial"/>
                <w:sz w:val="20"/>
                <w:szCs w:val="20"/>
              </w:rPr>
            </w:pPr>
            <w:r w:rsidRPr="00DB4A90">
              <w:rPr>
                <w:rFonts w:ascii="Arial" w:hAnsi="Arial" w:cs="Arial"/>
                <w:sz w:val="20"/>
                <w:szCs w:val="20"/>
              </w:rPr>
              <w:t>8</w:t>
            </w:r>
          </w:p>
        </w:tc>
        <w:tc>
          <w:tcPr>
            <w:tcW w:w="1652" w:type="dxa"/>
          </w:tcPr>
          <w:p w:rsidR="0000324D" w:rsidRPr="00DB4A90" w:rsidRDefault="00F86C74">
            <w:pPr>
              <w:rPr>
                <w:rFonts w:ascii="Arial" w:hAnsi="Arial" w:cs="Arial"/>
                <w:i/>
                <w:sz w:val="20"/>
                <w:szCs w:val="20"/>
              </w:rPr>
            </w:pPr>
            <w:r w:rsidRPr="00DB4A90">
              <w:rPr>
                <w:rFonts w:ascii="Arial" w:hAnsi="Arial" w:cs="Arial"/>
                <w:i/>
                <w:sz w:val="20"/>
                <w:szCs w:val="20"/>
              </w:rPr>
              <w:t>Greenwich</w:t>
            </w:r>
          </w:p>
          <w:p w:rsidR="0009501F" w:rsidRPr="00DB4A90" w:rsidRDefault="0009501F">
            <w:pPr>
              <w:rPr>
                <w:rFonts w:ascii="Arial" w:hAnsi="Arial" w:cs="Arial"/>
                <w:sz w:val="20"/>
                <w:szCs w:val="20"/>
              </w:rPr>
            </w:pPr>
            <w:r w:rsidRPr="00DB4A90">
              <w:rPr>
                <w:rFonts w:ascii="Arial" w:hAnsi="Arial" w:cs="Arial"/>
                <w:sz w:val="20"/>
                <w:szCs w:val="20"/>
              </w:rPr>
              <w:t>Schedule 5 &amp;</w:t>
            </w:r>
          </w:p>
          <w:p w:rsidR="0009501F" w:rsidRPr="00DB4A90" w:rsidRDefault="0009501F">
            <w:pPr>
              <w:rPr>
                <w:rFonts w:ascii="Arial" w:hAnsi="Arial" w:cs="Arial"/>
                <w:i/>
                <w:sz w:val="20"/>
                <w:szCs w:val="20"/>
              </w:rPr>
            </w:pPr>
            <w:r w:rsidRPr="00DB4A90">
              <w:rPr>
                <w:rFonts w:ascii="Arial" w:hAnsi="Arial" w:cs="Arial"/>
                <w:sz w:val="20"/>
                <w:szCs w:val="20"/>
              </w:rPr>
              <w:t>HER_004</w:t>
            </w:r>
          </w:p>
        </w:tc>
        <w:tc>
          <w:tcPr>
            <w:tcW w:w="4803" w:type="dxa"/>
          </w:tcPr>
          <w:p w:rsidR="0000324D" w:rsidRPr="00DB4A90" w:rsidRDefault="0000324D" w:rsidP="0000324D">
            <w:pPr>
              <w:rPr>
                <w:rFonts w:ascii="Arial" w:hAnsi="Arial" w:cs="Arial"/>
                <w:sz w:val="20"/>
                <w:szCs w:val="20"/>
              </w:rPr>
            </w:pPr>
            <w:r w:rsidRPr="00DB4A90">
              <w:rPr>
                <w:rFonts w:ascii="Arial" w:hAnsi="Arial" w:cs="Arial"/>
                <w:sz w:val="20"/>
                <w:szCs w:val="20"/>
              </w:rPr>
              <w:t>Delete the following Local Items:</w:t>
            </w:r>
          </w:p>
          <w:p w:rsidR="0000324D" w:rsidRPr="00DB4A90" w:rsidRDefault="0000324D" w:rsidP="00F86C74">
            <w:pPr>
              <w:pStyle w:val="ListParagraph"/>
              <w:numPr>
                <w:ilvl w:val="0"/>
                <w:numId w:val="4"/>
              </w:numPr>
              <w:spacing w:after="0" w:line="240" w:lineRule="auto"/>
              <w:ind w:left="307" w:hanging="307"/>
              <w:rPr>
                <w:rFonts w:ascii="Arial" w:hAnsi="Arial" w:cs="Arial"/>
                <w:sz w:val="20"/>
                <w:szCs w:val="20"/>
              </w:rPr>
            </w:pPr>
            <w:r w:rsidRPr="00DB4A90">
              <w:rPr>
                <w:rFonts w:ascii="Arial" w:hAnsi="Arial" w:cs="Arial"/>
                <w:sz w:val="20"/>
                <w:szCs w:val="20"/>
              </w:rPr>
              <w:t>I89, I90, I91 (13,15 &amp; 16 Kingslangley Rd)</w:t>
            </w:r>
            <w:r w:rsidR="00F86C74" w:rsidRPr="00DB4A90">
              <w:rPr>
                <w:rFonts w:ascii="Arial" w:hAnsi="Arial" w:cs="Arial"/>
                <w:sz w:val="20"/>
                <w:szCs w:val="20"/>
              </w:rPr>
              <w:t xml:space="preserve">. </w:t>
            </w:r>
          </w:p>
        </w:tc>
        <w:tc>
          <w:tcPr>
            <w:tcW w:w="6871" w:type="dxa"/>
          </w:tcPr>
          <w:p w:rsidR="0000324D" w:rsidRPr="00DB4A90" w:rsidRDefault="00F86C74" w:rsidP="00F86C74">
            <w:pPr>
              <w:rPr>
                <w:rFonts w:ascii="Arial" w:hAnsi="Arial" w:cs="Arial"/>
                <w:sz w:val="20"/>
                <w:szCs w:val="20"/>
              </w:rPr>
            </w:pPr>
            <w:r w:rsidRPr="00DB4A90">
              <w:rPr>
                <w:rFonts w:ascii="Arial" w:hAnsi="Arial" w:cs="Arial"/>
                <w:sz w:val="20"/>
                <w:szCs w:val="20"/>
              </w:rPr>
              <w:t>DAs approved – Demolition.</w:t>
            </w:r>
          </w:p>
        </w:tc>
        <w:tc>
          <w:tcPr>
            <w:tcW w:w="1167" w:type="dxa"/>
          </w:tcPr>
          <w:p w:rsidR="0000324D" w:rsidRPr="00DB4A90" w:rsidRDefault="0000324D" w:rsidP="0000324D">
            <w:pPr>
              <w:rPr>
                <w:rFonts w:ascii="Arial" w:hAnsi="Arial" w:cs="Arial"/>
                <w:sz w:val="20"/>
                <w:szCs w:val="20"/>
              </w:rPr>
            </w:pPr>
            <w:r w:rsidRPr="00DB4A90">
              <w:rPr>
                <w:rFonts w:ascii="Arial" w:hAnsi="Arial" w:cs="Arial"/>
                <w:sz w:val="20"/>
                <w:szCs w:val="20"/>
              </w:rPr>
              <w:t>Resolutn 1l, Sched. Nos.14, 15, 16, 30,31,</w:t>
            </w:r>
          </w:p>
        </w:tc>
      </w:tr>
      <w:tr w:rsidR="00CD0EFD" w:rsidRPr="00DB4A90" w:rsidTr="00DE787A">
        <w:tc>
          <w:tcPr>
            <w:tcW w:w="504" w:type="dxa"/>
          </w:tcPr>
          <w:p w:rsidR="00CD0EFD" w:rsidRPr="00DB4A90" w:rsidRDefault="00DC6121" w:rsidP="005F71A4">
            <w:pPr>
              <w:rPr>
                <w:rFonts w:ascii="Arial" w:hAnsi="Arial" w:cs="Arial"/>
                <w:sz w:val="20"/>
                <w:szCs w:val="20"/>
              </w:rPr>
            </w:pPr>
            <w:r w:rsidRPr="00DB4A90">
              <w:rPr>
                <w:rFonts w:ascii="Arial" w:hAnsi="Arial" w:cs="Arial"/>
                <w:sz w:val="20"/>
                <w:szCs w:val="20"/>
              </w:rPr>
              <w:t>9</w:t>
            </w:r>
          </w:p>
        </w:tc>
        <w:tc>
          <w:tcPr>
            <w:tcW w:w="1652" w:type="dxa"/>
          </w:tcPr>
          <w:p w:rsidR="00CD0EFD" w:rsidRPr="00DB4A90" w:rsidRDefault="00CD0EFD" w:rsidP="00ED09B9">
            <w:pPr>
              <w:rPr>
                <w:rFonts w:ascii="Arial" w:hAnsi="Arial" w:cs="Arial"/>
                <w:i/>
                <w:sz w:val="20"/>
                <w:szCs w:val="20"/>
              </w:rPr>
            </w:pPr>
            <w:r w:rsidRPr="00DB4A90">
              <w:rPr>
                <w:rFonts w:ascii="Arial" w:hAnsi="Arial" w:cs="Arial"/>
                <w:i/>
                <w:sz w:val="20"/>
                <w:szCs w:val="20"/>
              </w:rPr>
              <w:t>Lane Cove</w:t>
            </w:r>
          </w:p>
          <w:p w:rsidR="00CD0EFD" w:rsidRPr="00DB4A90" w:rsidRDefault="00CD0EFD" w:rsidP="00CD0EFD">
            <w:pPr>
              <w:rPr>
                <w:rFonts w:ascii="Arial" w:hAnsi="Arial" w:cs="Arial"/>
                <w:sz w:val="20"/>
                <w:szCs w:val="20"/>
              </w:rPr>
            </w:pPr>
            <w:r w:rsidRPr="00DB4A90">
              <w:rPr>
                <w:rFonts w:ascii="Arial" w:hAnsi="Arial" w:cs="Arial"/>
                <w:sz w:val="20"/>
                <w:szCs w:val="20"/>
              </w:rPr>
              <w:t>Schedule 5 &amp;</w:t>
            </w:r>
          </w:p>
          <w:p w:rsidR="00CD0EFD" w:rsidRPr="00DB4A90" w:rsidRDefault="00CD0EFD" w:rsidP="00CD0EFD">
            <w:pPr>
              <w:rPr>
                <w:rFonts w:ascii="Arial" w:hAnsi="Arial" w:cs="Arial"/>
                <w:i/>
                <w:sz w:val="20"/>
                <w:szCs w:val="20"/>
              </w:rPr>
            </w:pPr>
            <w:r w:rsidRPr="00DB4A90">
              <w:rPr>
                <w:rFonts w:ascii="Arial" w:hAnsi="Arial" w:cs="Arial"/>
                <w:sz w:val="20"/>
                <w:szCs w:val="20"/>
              </w:rPr>
              <w:t>HER_001</w:t>
            </w:r>
          </w:p>
          <w:p w:rsidR="00CD0EFD" w:rsidRPr="00DB4A90" w:rsidRDefault="00CD0EFD" w:rsidP="00ED09B9">
            <w:pPr>
              <w:rPr>
                <w:rFonts w:ascii="Arial" w:hAnsi="Arial" w:cs="Arial"/>
                <w:i/>
                <w:sz w:val="20"/>
                <w:szCs w:val="20"/>
              </w:rPr>
            </w:pPr>
          </w:p>
        </w:tc>
        <w:tc>
          <w:tcPr>
            <w:tcW w:w="4803" w:type="dxa"/>
          </w:tcPr>
          <w:p w:rsidR="00CD0EFD" w:rsidRPr="00DB4A90" w:rsidRDefault="00CD0EFD" w:rsidP="00CD0EFD">
            <w:pPr>
              <w:rPr>
                <w:rFonts w:ascii="Arial" w:hAnsi="Arial" w:cs="Arial"/>
                <w:sz w:val="20"/>
                <w:szCs w:val="20"/>
              </w:rPr>
            </w:pPr>
            <w:r w:rsidRPr="00DB4A90">
              <w:rPr>
                <w:rFonts w:ascii="Arial" w:hAnsi="Arial" w:cs="Arial"/>
                <w:sz w:val="20"/>
                <w:szCs w:val="20"/>
              </w:rPr>
              <w:t xml:space="preserve">Delete Item I168. </w:t>
            </w:r>
          </w:p>
        </w:tc>
        <w:tc>
          <w:tcPr>
            <w:tcW w:w="6871" w:type="dxa"/>
          </w:tcPr>
          <w:p w:rsidR="00CD0EFD" w:rsidRPr="00DB4A90" w:rsidRDefault="00CD0EFD" w:rsidP="00CD0EFD">
            <w:pPr>
              <w:rPr>
                <w:rFonts w:ascii="Arial" w:hAnsi="Arial" w:cs="Arial"/>
                <w:sz w:val="20"/>
                <w:szCs w:val="20"/>
              </w:rPr>
            </w:pPr>
            <w:r w:rsidRPr="00DB4A90">
              <w:rPr>
                <w:rFonts w:ascii="Arial" w:hAnsi="Arial" w:cs="Arial"/>
                <w:sz w:val="20"/>
                <w:szCs w:val="20"/>
              </w:rPr>
              <w:t>The street trees in front of 87-93 Longueville Rd were the item, but they have since died (and due to a mapping error, they had been erroneously located on Birdwood Lane.)</w:t>
            </w:r>
          </w:p>
        </w:tc>
        <w:tc>
          <w:tcPr>
            <w:tcW w:w="1167" w:type="dxa"/>
          </w:tcPr>
          <w:p w:rsidR="00CD0EFD" w:rsidRPr="00DB4A90" w:rsidRDefault="00055C44" w:rsidP="0000324D">
            <w:pPr>
              <w:rPr>
                <w:rFonts w:ascii="Arial" w:hAnsi="Arial" w:cs="Arial"/>
                <w:sz w:val="20"/>
                <w:szCs w:val="20"/>
              </w:rPr>
            </w:pPr>
            <w:r w:rsidRPr="00DB4A90">
              <w:rPr>
                <w:rFonts w:ascii="Arial" w:hAnsi="Arial" w:cs="Arial"/>
                <w:sz w:val="20"/>
                <w:szCs w:val="20"/>
              </w:rPr>
              <w:t>Resolutn 1l, Sched. No.27</w:t>
            </w:r>
          </w:p>
        </w:tc>
      </w:tr>
      <w:tr w:rsidR="00F93CBA" w:rsidRPr="00DB4A90" w:rsidTr="00DE787A">
        <w:tc>
          <w:tcPr>
            <w:tcW w:w="504" w:type="dxa"/>
          </w:tcPr>
          <w:p w:rsidR="00F93CBA" w:rsidRPr="00DB4A90" w:rsidRDefault="00DC6121" w:rsidP="005F71A4">
            <w:pPr>
              <w:rPr>
                <w:rFonts w:ascii="Arial" w:hAnsi="Arial" w:cs="Arial"/>
                <w:sz w:val="20"/>
                <w:szCs w:val="20"/>
              </w:rPr>
            </w:pPr>
            <w:r w:rsidRPr="00DB4A90">
              <w:rPr>
                <w:rFonts w:ascii="Arial" w:hAnsi="Arial" w:cs="Arial"/>
                <w:sz w:val="20"/>
                <w:szCs w:val="20"/>
              </w:rPr>
              <w:t>10</w:t>
            </w:r>
          </w:p>
        </w:tc>
        <w:tc>
          <w:tcPr>
            <w:tcW w:w="1652" w:type="dxa"/>
          </w:tcPr>
          <w:p w:rsidR="00F93CBA" w:rsidRPr="00DB4A90" w:rsidRDefault="00F93CBA" w:rsidP="00ED09B9">
            <w:pPr>
              <w:rPr>
                <w:rFonts w:ascii="Arial" w:hAnsi="Arial" w:cs="Arial"/>
                <w:i/>
                <w:sz w:val="20"/>
                <w:szCs w:val="20"/>
              </w:rPr>
            </w:pPr>
            <w:r w:rsidRPr="00DB4A90">
              <w:rPr>
                <w:rFonts w:ascii="Arial" w:hAnsi="Arial" w:cs="Arial"/>
                <w:i/>
                <w:sz w:val="20"/>
                <w:szCs w:val="20"/>
              </w:rPr>
              <w:t>Longueville</w:t>
            </w:r>
          </w:p>
          <w:p w:rsidR="0009501F" w:rsidRPr="00DB4A90" w:rsidRDefault="0009501F" w:rsidP="0009501F">
            <w:pPr>
              <w:rPr>
                <w:rFonts w:ascii="Arial" w:hAnsi="Arial" w:cs="Arial"/>
                <w:sz w:val="20"/>
                <w:szCs w:val="20"/>
              </w:rPr>
            </w:pPr>
            <w:r w:rsidRPr="00DB4A90">
              <w:rPr>
                <w:rFonts w:ascii="Arial" w:hAnsi="Arial" w:cs="Arial"/>
                <w:sz w:val="20"/>
                <w:szCs w:val="20"/>
              </w:rPr>
              <w:t>Schedule 5 &amp;</w:t>
            </w:r>
          </w:p>
          <w:p w:rsidR="0009501F" w:rsidRPr="00DB4A90" w:rsidRDefault="0009501F" w:rsidP="0009501F">
            <w:pPr>
              <w:rPr>
                <w:rFonts w:ascii="Arial" w:hAnsi="Arial" w:cs="Arial"/>
                <w:i/>
                <w:sz w:val="20"/>
                <w:szCs w:val="20"/>
              </w:rPr>
            </w:pPr>
            <w:r w:rsidRPr="00DB4A90">
              <w:rPr>
                <w:rFonts w:ascii="Arial" w:hAnsi="Arial" w:cs="Arial"/>
                <w:sz w:val="20"/>
                <w:szCs w:val="20"/>
              </w:rPr>
              <w:t>HER_002</w:t>
            </w:r>
          </w:p>
        </w:tc>
        <w:tc>
          <w:tcPr>
            <w:tcW w:w="4803" w:type="dxa"/>
          </w:tcPr>
          <w:p w:rsidR="00F93CBA" w:rsidRPr="00DB4A90" w:rsidRDefault="00F93CBA" w:rsidP="006B2592">
            <w:pPr>
              <w:rPr>
                <w:rFonts w:ascii="Arial" w:hAnsi="Arial" w:cs="Arial"/>
                <w:sz w:val="20"/>
                <w:szCs w:val="20"/>
              </w:rPr>
            </w:pPr>
            <w:r w:rsidRPr="00DB4A90">
              <w:rPr>
                <w:rFonts w:ascii="Arial" w:hAnsi="Arial" w:cs="Arial"/>
                <w:sz w:val="20"/>
                <w:szCs w:val="20"/>
              </w:rPr>
              <w:t>Delete 73 Arabella St – Lot A DP 311252 – House – Local – Item I228.</w:t>
            </w:r>
          </w:p>
        </w:tc>
        <w:tc>
          <w:tcPr>
            <w:tcW w:w="6871" w:type="dxa"/>
          </w:tcPr>
          <w:p w:rsidR="00F93CBA" w:rsidRPr="00DB4A90" w:rsidRDefault="00F93CBA" w:rsidP="00205028">
            <w:pPr>
              <w:rPr>
                <w:rFonts w:ascii="Arial" w:hAnsi="Arial" w:cs="Arial"/>
                <w:sz w:val="20"/>
                <w:szCs w:val="20"/>
              </w:rPr>
            </w:pPr>
            <w:r w:rsidRPr="00DB4A90">
              <w:rPr>
                <w:rFonts w:ascii="Arial" w:hAnsi="Arial" w:cs="Arial"/>
                <w:sz w:val="20"/>
                <w:szCs w:val="20"/>
              </w:rPr>
              <w:t>DA approved – Demolition.</w:t>
            </w:r>
          </w:p>
        </w:tc>
        <w:tc>
          <w:tcPr>
            <w:tcW w:w="1167" w:type="dxa"/>
          </w:tcPr>
          <w:p w:rsidR="00F93CBA" w:rsidRPr="00DB4A90" w:rsidRDefault="00F93CBA" w:rsidP="0000324D">
            <w:pPr>
              <w:rPr>
                <w:rFonts w:ascii="Arial" w:hAnsi="Arial" w:cs="Arial"/>
                <w:sz w:val="20"/>
                <w:szCs w:val="20"/>
              </w:rPr>
            </w:pPr>
            <w:r w:rsidRPr="00DB4A90">
              <w:rPr>
                <w:rFonts w:ascii="Arial" w:hAnsi="Arial" w:cs="Arial"/>
                <w:sz w:val="20"/>
                <w:szCs w:val="20"/>
              </w:rPr>
              <w:t>Resolutn 1l, Sched. Nos.14, 15, 16, 30,31,</w:t>
            </w:r>
          </w:p>
        </w:tc>
      </w:tr>
      <w:tr w:rsidR="00F93CBA" w:rsidRPr="00DB4A90" w:rsidTr="00DE787A">
        <w:tc>
          <w:tcPr>
            <w:tcW w:w="504" w:type="dxa"/>
          </w:tcPr>
          <w:p w:rsidR="00F93CBA" w:rsidRPr="00DB4A90" w:rsidRDefault="00DC6121" w:rsidP="005F71A4">
            <w:pPr>
              <w:rPr>
                <w:rFonts w:ascii="Arial" w:hAnsi="Arial" w:cs="Arial"/>
                <w:sz w:val="20"/>
                <w:szCs w:val="20"/>
              </w:rPr>
            </w:pPr>
            <w:r w:rsidRPr="00DB4A90">
              <w:rPr>
                <w:rFonts w:ascii="Arial" w:hAnsi="Arial" w:cs="Arial"/>
                <w:sz w:val="20"/>
                <w:szCs w:val="20"/>
              </w:rPr>
              <w:t>11</w:t>
            </w:r>
          </w:p>
        </w:tc>
        <w:tc>
          <w:tcPr>
            <w:tcW w:w="1652" w:type="dxa"/>
          </w:tcPr>
          <w:p w:rsidR="0009501F" w:rsidRPr="00DB4A90" w:rsidRDefault="0009501F" w:rsidP="0009501F">
            <w:pPr>
              <w:rPr>
                <w:rFonts w:ascii="Arial" w:hAnsi="Arial" w:cs="Arial"/>
                <w:i/>
                <w:sz w:val="20"/>
                <w:szCs w:val="20"/>
              </w:rPr>
            </w:pPr>
            <w:r w:rsidRPr="00DB4A90">
              <w:rPr>
                <w:rFonts w:ascii="Arial" w:hAnsi="Arial" w:cs="Arial"/>
                <w:i/>
                <w:sz w:val="20"/>
                <w:szCs w:val="20"/>
              </w:rPr>
              <w:t>Northwood</w:t>
            </w:r>
          </w:p>
          <w:p w:rsidR="0009501F" w:rsidRPr="00DB4A90" w:rsidRDefault="0009501F" w:rsidP="0009501F">
            <w:pPr>
              <w:rPr>
                <w:rFonts w:ascii="Arial" w:hAnsi="Arial" w:cs="Arial"/>
                <w:sz w:val="20"/>
                <w:szCs w:val="20"/>
              </w:rPr>
            </w:pPr>
            <w:r w:rsidRPr="00DB4A90">
              <w:rPr>
                <w:rFonts w:ascii="Arial" w:hAnsi="Arial" w:cs="Arial"/>
                <w:sz w:val="20"/>
                <w:szCs w:val="20"/>
              </w:rPr>
              <w:t>Schedule 5 &amp;</w:t>
            </w:r>
          </w:p>
          <w:p w:rsidR="00F93CBA" w:rsidRPr="00DB4A90" w:rsidRDefault="0009501F" w:rsidP="0009501F">
            <w:pPr>
              <w:rPr>
                <w:rFonts w:ascii="Arial" w:hAnsi="Arial" w:cs="Arial"/>
                <w:i/>
                <w:sz w:val="20"/>
                <w:szCs w:val="20"/>
              </w:rPr>
            </w:pPr>
            <w:r w:rsidRPr="00DB4A90">
              <w:rPr>
                <w:rFonts w:ascii="Arial" w:hAnsi="Arial" w:cs="Arial"/>
                <w:sz w:val="20"/>
                <w:szCs w:val="20"/>
              </w:rPr>
              <w:t>HER_004</w:t>
            </w:r>
          </w:p>
        </w:tc>
        <w:tc>
          <w:tcPr>
            <w:tcW w:w="4803" w:type="dxa"/>
          </w:tcPr>
          <w:p w:rsidR="00F93CBA" w:rsidRPr="00DB4A90" w:rsidRDefault="00F93CBA" w:rsidP="00205028">
            <w:pPr>
              <w:rPr>
                <w:rFonts w:ascii="Arial" w:hAnsi="Arial" w:cs="Arial"/>
                <w:sz w:val="20"/>
                <w:szCs w:val="20"/>
              </w:rPr>
            </w:pPr>
            <w:r w:rsidRPr="00DB4A90">
              <w:rPr>
                <w:rFonts w:ascii="Arial" w:hAnsi="Arial" w:cs="Arial"/>
                <w:sz w:val="20"/>
                <w:szCs w:val="20"/>
              </w:rPr>
              <w:t>Delete 62 Northwood Rd – Lot 1 DP 826939 – House – Local – Item I293.</w:t>
            </w:r>
          </w:p>
        </w:tc>
        <w:tc>
          <w:tcPr>
            <w:tcW w:w="6871" w:type="dxa"/>
          </w:tcPr>
          <w:p w:rsidR="00F93CBA" w:rsidRPr="00DB4A90" w:rsidRDefault="00F93CBA" w:rsidP="00205028">
            <w:pPr>
              <w:rPr>
                <w:rFonts w:ascii="Arial" w:hAnsi="Arial" w:cs="Arial"/>
                <w:sz w:val="20"/>
                <w:szCs w:val="20"/>
              </w:rPr>
            </w:pPr>
            <w:r w:rsidRPr="00DB4A90">
              <w:rPr>
                <w:rFonts w:ascii="Arial" w:hAnsi="Arial" w:cs="Arial"/>
                <w:sz w:val="20"/>
                <w:szCs w:val="20"/>
              </w:rPr>
              <w:t>DA approved – Demolition.</w:t>
            </w:r>
          </w:p>
        </w:tc>
        <w:tc>
          <w:tcPr>
            <w:tcW w:w="1167" w:type="dxa"/>
          </w:tcPr>
          <w:p w:rsidR="00F93CBA" w:rsidRPr="00DB4A90" w:rsidRDefault="00F93CBA" w:rsidP="00DC045A">
            <w:pPr>
              <w:rPr>
                <w:rFonts w:ascii="Arial" w:hAnsi="Arial" w:cs="Arial"/>
                <w:sz w:val="20"/>
                <w:szCs w:val="20"/>
              </w:rPr>
            </w:pPr>
            <w:r w:rsidRPr="00DB4A90">
              <w:rPr>
                <w:rFonts w:ascii="Arial" w:hAnsi="Arial" w:cs="Arial"/>
                <w:sz w:val="20"/>
                <w:szCs w:val="20"/>
              </w:rPr>
              <w:t>Resolutn 1l, Sched. Nos.14, 15, 16, 30,31,</w:t>
            </w:r>
          </w:p>
        </w:tc>
      </w:tr>
      <w:tr w:rsidR="00F93CBA" w:rsidRPr="00DB4A90" w:rsidTr="00DE787A">
        <w:tc>
          <w:tcPr>
            <w:tcW w:w="504" w:type="dxa"/>
          </w:tcPr>
          <w:p w:rsidR="00F93CBA" w:rsidRPr="00DB4A90" w:rsidRDefault="00DC6121" w:rsidP="005F71A4">
            <w:pPr>
              <w:rPr>
                <w:rFonts w:ascii="Arial" w:hAnsi="Arial" w:cs="Arial"/>
                <w:sz w:val="20"/>
                <w:szCs w:val="20"/>
              </w:rPr>
            </w:pPr>
            <w:r w:rsidRPr="00DB4A90">
              <w:rPr>
                <w:rFonts w:ascii="Arial" w:hAnsi="Arial" w:cs="Arial"/>
                <w:sz w:val="20"/>
                <w:szCs w:val="20"/>
              </w:rPr>
              <w:t>12</w:t>
            </w:r>
          </w:p>
        </w:tc>
        <w:tc>
          <w:tcPr>
            <w:tcW w:w="1652" w:type="dxa"/>
          </w:tcPr>
          <w:p w:rsidR="0009501F" w:rsidRPr="00DB4A90" w:rsidRDefault="0009501F" w:rsidP="0009501F">
            <w:pPr>
              <w:rPr>
                <w:rFonts w:ascii="Arial" w:hAnsi="Arial" w:cs="Arial"/>
                <w:i/>
                <w:sz w:val="20"/>
                <w:szCs w:val="20"/>
              </w:rPr>
            </w:pPr>
            <w:r w:rsidRPr="00DB4A90">
              <w:rPr>
                <w:rFonts w:ascii="Arial" w:hAnsi="Arial" w:cs="Arial"/>
                <w:i/>
                <w:sz w:val="20"/>
                <w:szCs w:val="20"/>
              </w:rPr>
              <w:t>Riverview</w:t>
            </w:r>
          </w:p>
          <w:p w:rsidR="0009501F" w:rsidRPr="00DB4A90" w:rsidRDefault="0009501F" w:rsidP="0009501F">
            <w:pPr>
              <w:rPr>
                <w:rFonts w:ascii="Arial" w:hAnsi="Arial" w:cs="Arial"/>
                <w:sz w:val="20"/>
                <w:szCs w:val="20"/>
              </w:rPr>
            </w:pPr>
            <w:r w:rsidRPr="00DB4A90">
              <w:rPr>
                <w:rFonts w:ascii="Arial" w:hAnsi="Arial" w:cs="Arial"/>
                <w:sz w:val="20"/>
                <w:szCs w:val="20"/>
              </w:rPr>
              <w:t>Schedule 5 &amp;</w:t>
            </w:r>
          </w:p>
          <w:p w:rsidR="00F93CBA" w:rsidRPr="00DB4A90" w:rsidRDefault="0009501F" w:rsidP="0009501F">
            <w:pPr>
              <w:rPr>
                <w:rFonts w:ascii="Arial" w:hAnsi="Arial" w:cs="Arial"/>
                <w:sz w:val="20"/>
                <w:szCs w:val="20"/>
              </w:rPr>
            </w:pPr>
            <w:r w:rsidRPr="00DB4A90">
              <w:rPr>
                <w:rFonts w:ascii="Arial" w:hAnsi="Arial" w:cs="Arial"/>
                <w:sz w:val="20"/>
                <w:szCs w:val="20"/>
              </w:rPr>
              <w:t>HER_002</w:t>
            </w:r>
          </w:p>
        </w:tc>
        <w:tc>
          <w:tcPr>
            <w:tcW w:w="4803" w:type="dxa"/>
          </w:tcPr>
          <w:p w:rsidR="00F93CBA" w:rsidRPr="00DB4A90" w:rsidRDefault="00F93CBA" w:rsidP="000F2C54">
            <w:pPr>
              <w:rPr>
                <w:rFonts w:ascii="Arial" w:hAnsi="Arial" w:cs="Arial"/>
                <w:sz w:val="20"/>
                <w:szCs w:val="20"/>
              </w:rPr>
            </w:pPr>
            <w:r w:rsidRPr="00DB4A90">
              <w:rPr>
                <w:rFonts w:ascii="Arial" w:hAnsi="Arial" w:cs="Arial"/>
                <w:sz w:val="20"/>
                <w:szCs w:val="20"/>
              </w:rPr>
              <w:t>Delete 44 College Rd South – Lot 7 DP 739156 – House – Local – Item I317.</w:t>
            </w:r>
          </w:p>
        </w:tc>
        <w:tc>
          <w:tcPr>
            <w:tcW w:w="6871" w:type="dxa"/>
          </w:tcPr>
          <w:p w:rsidR="00F93CBA" w:rsidRPr="00DB4A90" w:rsidRDefault="00F93CBA" w:rsidP="000F2C54">
            <w:pPr>
              <w:rPr>
                <w:rFonts w:ascii="Arial" w:hAnsi="Arial" w:cs="Arial"/>
                <w:sz w:val="20"/>
                <w:szCs w:val="20"/>
              </w:rPr>
            </w:pPr>
            <w:r w:rsidRPr="00DB4A90">
              <w:rPr>
                <w:rFonts w:ascii="Arial" w:hAnsi="Arial" w:cs="Arial"/>
                <w:sz w:val="20"/>
                <w:szCs w:val="20"/>
              </w:rPr>
              <w:t>DA approved – Demolition.</w:t>
            </w:r>
          </w:p>
        </w:tc>
        <w:tc>
          <w:tcPr>
            <w:tcW w:w="1167" w:type="dxa"/>
          </w:tcPr>
          <w:p w:rsidR="00F93CBA" w:rsidRPr="00DB4A90" w:rsidRDefault="00F93CBA" w:rsidP="0000324D">
            <w:pPr>
              <w:rPr>
                <w:rFonts w:ascii="Arial" w:hAnsi="Arial" w:cs="Arial"/>
                <w:sz w:val="20"/>
                <w:szCs w:val="20"/>
              </w:rPr>
            </w:pPr>
            <w:r w:rsidRPr="00DB4A90">
              <w:rPr>
                <w:rFonts w:ascii="Arial" w:hAnsi="Arial" w:cs="Arial"/>
                <w:sz w:val="20"/>
                <w:szCs w:val="20"/>
              </w:rPr>
              <w:t>Resolutn 1l, Sched. Nos.14, 15, 16, 30,31,</w:t>
            </w:r>
          </w:p>
        </w:tc>
      </w:tr>
      <w:tr w:rsidR="00F93CBA" w:rsidRPr="00DB4A90" w:rsidTr="00DE787A">
        <w:tc>
          <w:tcPr>
            <w:tcW w:w="504" w:type="dxa"/>
          </w:tcPr>
          <w:p w:rsidR="00F93CBA" w:rsidRPr="00DB4A90" w:rsidRDefault="00F93CBA" w:rsidP="00B65B14">
            <w:pPr>
              <w:rPr>
                <w:rFonts w:ascii="Arial" w:hAnsi="Arial" w:cs="Arial"/>
                <w:sz w:val="20"/>
                <w:szCs w:val="20"/>
              </w:rPr>
            </w:pPr>
          </w:p>
        </w:tc>
        <w:tc>
          <w:tcPr>
            <w:tcW w:w="1652" w:type="dxa"/>
          </w:tcPr>
          <w:p w:rsidR="00F93CBA" w:rsidRPr="00DB4A90" w:rsidRDefault="00F93CBA" w:rsidP="003D0C70">
            <w:pPr>
              <w:rPr>
                <w:rFonts w:ascii="Arial" w:hAnsi="Arial" w:cs="Arial"/>
                <w:b/>
              </w:rPr>
            </w:pPr>
            <w:r w:rsidRPr="00DB4A90">
              <w:rPr>
                <w:rFonts w:ascii="Arial" w:hAnsi="Arial" w:cs="Arial"/>
                <w:b/>
              </w:rPr>
              <w:t>LEP MAP</w:t>
            </w:r>
          </w:p>
          <w:p w:rsidR="00F93CBA" w:rsidRPr="00DB4A90" w:rsidRDefault="00F93CBA" w:rsidP="00B65B14">
            <w:pPr>
              <w:rPr>
                <w:rFonts w:ascii="Arial" w:hAnsi="Arial" w:cs="Arial"/>
                <w:sz w:val="20"/>
                <w:szCs w:val="20"/>
              </w:rPr>
            </w:pPr>
          </w:p>
        </w:tc>
        <w:tc>
          <w:tcPr>
            <w:tcW w:w="4803" w:type="dxa"/>
          </w:tcPr>
          <w:p w:rsidR="00F93CBA" w:rsidRPr="00DB4A90" w:rsidRDefault="00F93CBA" w:rsidP="00E42FCC">
            <w:pPr>
              <w:rPr>
                <w:rFonts w:ascii="Arial" w:eastAsia="Times New Roman" w:hAnsi="Arial" w:cs="Arial"/>
                <w:sz w:val="20"/>
                <w:szCs w:val="20"/>
                <w:lang w:val="en-US" w:eastAsia="en-AU"/>
              </w:rPr>
            </w:pPr>
          </w:p>
        </w:tc>
        <w:tc>
          <w:tcPr>
            <w:tcW w:w="6871" w:type="dxa"/>
          </w:tcPr>
          <w:p w:rsidR="00F93CBA" w:rsidRPr="00DB4A90" w:rsidRDefault="00F93CBA" w:rsidP="00E42FCC">
            <w:pPr>
              <w:rPr>
                <w:rFonts w:ascii="Arial" w:hAnsi="Arial" w:cs="Arial"/>
                <w:sz w:val="20"/>
                <w:szCs w:val="20"/>
                <w:lang w:val="en-US"/>
              </w:rPr>
            </w:pPr>
          </w:p>
        </w:tc>
        <w:tc>
          <w:tcPr>
            <w:tcW w:w="1167" w:type="dxa"/>
          </w:tcPr>
          <w:p w:rsidR="00F93CBA" w:rsidRPr="00DB4A90" w:rsidRDefault="00F93CBA" w:rsidP="00B65B14">
            <w:pPr>
              <w:rPr>
                <w:rFonts w:ascii="Arial" w:hAnsi="Arial" w:cs="Arial"/>
                <w:sz w:val="20"/>
                <w:szCs w:val="20"/>
              </w:rPr>
            </w:pPr>
          </w:p>
        </w:tc>
      </w:tr>
      <w:tr w:rsidR="00F93CBA" w:rsidRPr="00DB4A90" w:rsidTr="00DE787A">
        <w:tc>
          <w:tcPr>
            <w:tcW w:w="504" w:type="dxa"/>
          </w:tcPr>
          <w:p w:rsidR="00F93CBA" w:rsidRPr="00DB4A90" w:rsidRDefault="00DC6121" w:rsidP="0049678D">
            <w:pPr>
              <w:rPr>
                <w:rFonts w:ascii="Arial" w:hAnsi="Arial" w:cs="Arial"/>
                <w:sz w:val="20"/>
                <w:szCs w:val="20"/>
              </w:rPr>
            </w:pPr>
            <w:r w:rsidRPr="00DB4A90">
              <w:rPr>
                <w:rFonts w:ascii="Arial" w:hAnsi="Arial" w:cs="Arial"/>
                <w:sz w:val="20"/>
                <w:szCs w:val="20"/>
              </w:rPr>
              <w:t>13</w:t>
            </w:r>
          </w:p>
        </w:tc>
        <w:tc>
          <w:tcPr>
            <w:tcW w:w="1652" w:type="dxa"/>
          </w:tcPr>
          <w:p w:rsidR="00F93CBA" w:rsidRPr="00DB4A90" w:rsidRDefault="00F93CBA" w:rsidP="005458BA">
            <w:pPr>
              <w:rPr>
                <w:rFonts w:ascii="Arial" w:hAnsi="Arial" w:cs="Arial"/>
                <w:sz w:val="20"/>
                <w:szCs w:val="20"/>
              </w:rPr>
            </w:pPr>
            <w:r w:rsidRPr="00DB4A90">
              <w:rPr>
                <w:rFonts w:ascii="Arial" w:hAnsi="Arial" w:cs="Arial"/>
                <w:sz w:val="20"/>
                <w:szCs w:val="20"/>
              </w:rPr>
              <w:t>FSR_001 to 004</w:t>
            </w:r>
          </w:p>
        </w:tc>
        <w:tc>
          <w:tcPr>
            <w:tcW w:w="4803" w:type="dxa"/>
          </w:tcPr>
          <w:p w:rsidR="00F93CBA" w:rsidRPr="00DB4A90" w:rsidRDefault="00F93CBA" w:rsidP="005458BA">
            <w:pPr>
              <w:rPr>
                <w:rFonts w:ascii="Arial" w:hAnsi="Arial" w:cs="Arial"/>
                <w:sz w:val="20"/>
                <w:szCs w:val="20"/>
              </w:rPr>
            </w:pPr>
            <w:r w:rsidRPr="00DB4A90">
              <w:rPr>
                <w:rFonts w:ascii="Arial" w:hAnsi="Arial" w:cs="Arial"/>
                <w:sz w:val="20"/>
                <w:szCs w:val="20"/>
              </w:rPr>
              <w:t>Properties in regular subdivision patterns are to be mapped consistently with neighbours at the R2 standard FSR 0.5:1.</w:t>
            </w:r>
          </w:p>
        </w:tc>
        <w:tc>
          <w:tcPr>
            <w:tcW w:w="6871" w:type="dxa"/>
          </w:tcPr>
          <w:p w:rsidR="00F93CBA" w:rsidRPr="00DB4A90" w:rsidRDefault="00F93CBA" w:rsidP="005458BA">
            <w:pPr>
              <w:rPr>
                <w:rFonts w:ascii="Arial" w:hAnsi="Arial" w:cs="Arial"/>
                <w:sz w:val="20"/>
                <w:szCs w:val="20"/>
              </w:rPr>
            </w:pPr>
            <w:r w:rsidRPr="00DB4A90">
              <w:rPr>
                <w:rFonts w:ascii="Arial" w:hAnsi="Arial" w:cs="Arial"/>
                <w:sz w:val="20"/>
                <w:szCs w:val="20"/>
              </w:rPr>
              <w:t>A software issue has identified some "small lots" and therefore permissible at FSR 0.6 that are in fact the same size as neighbouring properties with FSR of only 0.5:1. This causes incompatible building bulk and streetscape.</w:t>
            </w:r>
          </w:p>
        </w:tc>
        <w:tc>
          <w:tcPr>
            <w:tcW w:w="1167" w:type="dxa"/>
          </w:tcPr>
          <w:p w:rsidR="00F93CBA" w:rsidRPr="00DB4A90" w:rsidRDefault="00F93CBA" w:rsidP="0049678D">
            <w:pPr>
              <w:rPr>
                <w:rFonts w:ascii="Arial" w:hAnsi="Arial" w:cs="Arial"/>
                <w:sz w:val="20"/>
                <w:szCs w:val="20"/>
              </w:rPr>
            </w:pPr>
          </w:p>
        </w:tc>
      </w:tr>
      <w:tr w:rsidR="00F93CBA" w:rsidRPr="00DB4A90" w:rsidTr="00DE787A">
        <w:tc>
          <w:tcPr>
            <w:tcW w:w="504" w:type="dxa"/>
          </w:tcPr>
          <w:p w:rsidR="00F93CBA" w:rsidRPr="00DB4A90" w:rsidRDefault="00DC6121" w:rsidP="0049678D">
            <w:pPr>
              <w:rPr>
                <w:rFonts w:ascii="Arial" w:hAnsi="Arial" w:cs="Arial"/>
                <w:sz w:val="20"/>
                <w:szCs w:val="20"/>
              </w:rPr>
            </w:pPr>
            <w:r w:rsidRPr="00DB4A90">
              <w:rPr>
                <w:rFonts w:ascii="Arial" w:hAnsi="Arial" w:cs="Arial"/>
                <w:sz w:val="20"/>
                <w:szCs w:val="20"/>
              </w:rPr>
              <w:t>14</w:t>
            </w:r>
          </w:p>
        </w:tc>
        <w:tc>
          <w:tcPr>
            <w:tcW w:w="1652" w:type="dxa"/>
          </w:tcPr>
          <w:p w:rsidR="00F93CBA" w:rsidRPr="00DB4A90" w:rsidRDefault="00F93CBA" w:rsidP="0049678D">
            <w:pPr>
              <w:rPr>
                <w:rFonts w:ascii="Arial" w:hAnsi="Arial" w:cs="Arial"/>
                <w:sz w:val="20"/>
                <w:szCs w:val="20"/>
              </w:rPr>
            </w:pPr>
            <w:r w:rsidRPr="00DB4A90">
              <w:rPr>
                <w:rFonts w:ascii="Arial" w:hAnsi="Arial" w:cs="Arial"/>
                <w:sz w:val="20"/>
                <w:szCs w:val="20"/>
              </w:rPr>
              <w:t>FSR_001 &amp; HOB_001</w:t>
            </w:r>
          </w:p>
        </w:tc>
        <w:tc>
          <w:tcPr>
            <w:tcW w:w="4803" w:type="dxa"/>
          </w:tcPr>
          <w:p w:rsidR="00F93CBA" w:rsidRPr="00DB4A90" w:rsidRDefault="00F93CBA" w:rsidP="0049678D">
            <w:pPr>
              <w:rPr>
                <w:rFonts w:ascii="Arial" w:hAnsi="Arial" w:cs="Arial"/>
                <w:sz w:val="20"/>
                <w:szCs w:val="20"/>
              </w:rPr>
            </w:pPr>
            <w:r w:rsidRPr="00DB4A90">
              <w:rPr>
                <w:rFonts w:ascii="Arial" w:hAnsi="Arial" w:cs="Arial"/>
                <w:sz w:val="20"/>
                <w:szCs w:val="20"/>
              </w:rPr>
              <w:t>Adjust FSR and Height along boundaries between Lot 120 DP 613223 and Lot 51 DP 862728 (these are different sections of Caroline Chisholm retirement centre at 40A Cope St).</w:t>
            </w:r>
          </w:p>
        </w:tc>
        <w:tc>
          <w:tcPr>
            <w:tcW w:w="6871" w:type="dxa"/>
          </w:tcPr>
          <w:p w:rsidR="00F93CBA" w:rsidRPr="00DB4A90" w:rsidRDefault="00F93CBA" w:rsidP="0049678D">
            <w:pPr>
              <w:rPr>
                <w:rFonts w:ascii="Arial" w:hAnsi="Arial" w:cs="Arial"/>
                <w:sz w:val="20"/>
                <w:szCs w:val="20"/>
              </w:rPr>
            </w:pPr>
            <w:r w:rsidRPr="00DB4A90">
              <w:rPr>
                <w:rFonts w:ascii="Arial" w:hAnsi="Arial" w:cs="Arial"/>
                <w:sz w:val="20"/>
                <w:szCs w:val="20"/>
              </w:rPr>
              <w:t>To match property boundaries (cadastre).</w:t>
            </w:r>
          </w:p>
        </w:tc>
        <w:tc>
          <w:tcPr>
            <w:tcW w:w="1167" w:type="dxa"/>
          </w:tcPr>
          <w:p w:rsidR="00F93CBA" w:rsidRPr="00DB4A90" w:rsidRDefault="00F93CBA" w:rsidP="0049678D">
            <w:pPr>
              <w:rPr>
                <w:rFonts w:ascii="Arial" w:hAnsi="Arial" w:cs="Arial"/>
                <w:sz w:val="20"/>
                <w:szCs w:val="20"/>
              </w:rPr>
            </w:pPr>
            <w:r w:rsidRPr="00DB4A90">
              <w:rPr>
                <w:rFonts w:ascii="Arial" w:hAnsi="Arial" w:cs="Arial"/>
                <w:sz w:val="20"/>
                <w:szCs w:val="20"/>
              </w:rPr>
              <w:t>Resolutn 1l, Sched. No.42</w:t>
            </w:r>
          </w:p>
        </w:tc>
      </w:tr>
      <w:tr w:rsidR="00F93CBA" w:rsidRPr="00DB4A90" w:rsidTr="00DE787A">
        <w:tc>
          <w:tcPr>
            <w:tcW w:w="504" w:type="dxa"/>
          </w:tcPr>
          <w:p w:rsidR="00F93CBA" w:rsidRPr="00DB4A90" w:rsidRDefault="00DC6121" w:rsidP="005F71A4">
            <w:pPr>
              <w:rPr>
                <w:rFonts w:ascii="Arial" w:hAnsi="Arial" w:cs="Arial"/>
                <w:sz w:val="20"/>
                <w:szCs w:val="20"/>
              </w:rPr>
            </w:pPr>
            <w:r w:rsidRPr="00DB4A90">
              <w:rPr>
                <w:rFonts w:ascii="Arial" w:hAnsi="Arial" w:cs="Arial"/>
                <w:sz w:val="20"/>
                <w:szCs w:val="20"/>
              </w:rPr>
              <w:t>15</w:t>
            </w:r>
          </w:p>
        </w:tc>
        <w:tc>
          <w:tcPr>
            <w:tcW w:w="1652" w:type="dxa"/>
          </w:tcPr>
          <w:p w:rsidR="00F93CBA" w:rsidRPr="00DB4A90" w:rsidRDefault="00F93CBA" w:rsidP="005F71A4">
            <w:pPr>
              <w:rPr>
                <w:rFonts w:ascii="Arial" w:hAnsi="Arial" w:cs="Arial"/>
                <w:sz w:val="20"/>
                <w:szCs w:val="20"/>
              </w:rPr>
            </w:pPr>
            <w:r w:rsidRPr="00DB4A90">
              <w:rPr>
                <w:rFonts w:ascii="Arial" w:hAnsi="Arial" w:cs="Arial"/>
                <w:sz w:val="20"/>
                <w:szCs w:val="20"/>
              </w:rPr>
              <w:t>FSR_002 &amp; HOB_002</w:t>
            </w:r>
          </w:p>
        </w:tc>
        <w:tc>
          <w:tcPr>
            <w:tcW w:w="4803" w:type="dxa"/>
          </w:tcPr>
          <w:p w:rsidR="00F93CBA" w:rsidRPr="00DB4A90" w:rsidRDefault="00F93CBA" w:rsidP="005529F2">
            <w:pPr>
              <w:rPr>
                <w:rFonts w:ascii="Arial" w:hAnsi="Arial" w:cs="Arial"/>
                <w:sz w:val="20"/>
                <w:szCs w:val="20"/>
              </w:rPr>
            </w:pPr>
            <w:r w:rsidRPr="00DB4A90">
              <w:rPr>
                <w:rFonts w:ascii="Arial" w:hAnsi="Arial" w:cs="Arial"/>
                <w:sz w:val="20"/>
                <w:szCs w:val="20"/>
              </w:rPr>
              <w:t>3 Dunois St, Longueville – add FSR and Height labels.</w:t>
            </w:r>
          </w:p>
        </w:tc>
        <w:tc>
          <w:tcPr>
            <w:tcW w:w="6871" w:type="dxa"/>
          </w:tcPr>
          <w:p w:rsidR="00F93CBA" w:rsidRPr="00DB4A90" w:rsidRDefault="00F93CBA" w:rsidP="005F71A4">
            <w:pPr>
              <w:rPr>
                <w:rFonts w:ascii="Arial" w:hAnsi="Arial" w:cs="Arial"/>
                <w:sz w:val="20"/>
                <w:szCs w:val="20"/>
              </w:rPr>
            </w:pPr>
            <w:r w:rsidRPr="00DB4A90">
              <w:rPr>
                <w:rFonts w:ascii="Arial" w:hAnsi="Arial" w:cs="Arial"/>
                <w:sz w:val="20"/>
                <w:szCs w:val="20"/>
              </w:rPr>
              <w:t>Labels are missing for this R2 Low Density Residential property..</w:t>
            </w:r>
          </w:p>
        </w:tc>
        <w:tc>
          <w:tcPr>
            <w:tcW w:w="1167" w:type="dxa"/>
          </w:tcPr>
          <w:p w:rsidR="00F93CBA" w:rsidRPr="00DB4A90" w:rsidRDefault="00F93CBA" w:rsidP="00DD7C49">
            <w:pPr>
              <w:rPr>
                <w:rFonts w:ascii="Arial" w:hAnsi="Arial" w:cs="Arial"/>
                <w:sz w:val="20"/>
                <w:szCs w:val="20"/>
              </w:rPr>
            </w:pPr>
            <w:r w:rsidRPr="00DB4A90">
              <w:rPr>
                <w:rFonts w:ascii="Arial" w:hAnsi="Arial" w:cs="Arial"/>
                <w:sz w:val="20"/>
                <w:szCs w:val="20"/>
              </w:rPr>
              <w:t>Resolutn 1l, Sched. No.43</w:t>
            </w:r>
          </w:p>
        </w:tc>
      </w:tr>
      <w:tr w:rsidR="00F93CBA" w:rsidRPr="00DB4A90" w:rsidTr="00DE787A">
        <w:tc>
          <w:tcPr>
            <w:tcW w:w="504" w:type="dxa"/>
          </w:tcPr>
          <w:p w:rsidR="00F93CBA" w:rsidRPr="00DB4A90" w:rsidRDefault="00DC6121" w:rsidP="00B65B14">
            <w:pPr>
              <w:rPr>
                <w:rFonts w:ascii="Arial" w:hAnsi="Arial" w:cs="Arial"/>
                <w:sz w:val="20"/>
                <w:szCs w:val="20"/>
              </w:rPr>
            </w:pPr>
            <w:r w:rsidRPr="00DB4A90">
              <w:rPr>
                <w:rFonts w:ascii="Arial" w:hAnsi="Arial" w:cs="Arial"/>
                <w:sz w:val="20"/>
                <w:szCs w:val="20"/>
              </w:rPr>
              <w:t>16</w:t>
            </w:r>
          </w:p>
        </w:tc>
        <w:tc>
          <w:tcPr>
            <w:tcW w:w="1652" w:type="dxa"/>
          </w:tcPr>
          <w:p w:rsidR="00F93CBA" w:rsidRPr="00DB4A90" w:rsidRDefault="00F93CBA" w:rsidP="00085195">
            <w:pPr>
              <w:rPr>
                <w:rFonts w:ascii="Arial" w:hAnsi="Arial" w:cs="Arial"/>
                <w:sz w:val="20"/>
                <w:szCs w:val="20"/>
              </w:rPr>
            </w:pPr>
            <w:r w:rsidRPr="00DB4A90">
              <w:rPr>
                <w:rFonts w:ascii="Arial" w:hAnsi="Arial" w:cs="Arial"/>
                <w:sz w:val="20"/>
                <w:szCs w:val="20"/>
              </w:rPr>
              <w:t>HER_001 to 004</w:t>
            </w:r>
          </w:p>
        </w:tc>
        <w:tc>
          <w:tcPr>
            <w:tcW w:w="4803" w:type="dxa"/>
          </w:tcPr>
          <w:p w:rsidR="00F93CBA" w:rsidRPr="00DB4A90" w:rsidRDefault="00F93CBA" w:rsidP="008B111F">
            <w:pPr>
              <w:rPr>
                <w:rFonts w:ascii="Arial" w:hAnsi="Arial" w:cs="Arial"/>
                <w:sz w:val="20"/>
                <w:szCs w:val="20"/>
              </w:rPr>
            </w:pPr>
            <w:r w:rsidRPr="00DB4A90">
              <w:rPr>
                <w:rFonts w:ascii="Arial" w:hAnsi="Arial" w:cs="Arial"/>
                <w:sz w:val="20"/>
                <w:szCs w:val="20"/>
              </w:rPr>
              <w:t xml:space="preserve">Map all properties to be consistent with the Text amendments </w:t>
            </w:r>
            <w:r w:rsidR="003967FC" w:rsidRPr="00DB4A90">
              <w:rPr>
                <w:rFonts w:ascii="Arial" w:hAnsi="Arial" w:cs="Arial"/>
                <w:sz w:val="20"/>
                <w:szCs w:val="20"/>
              </w:rPr>
              <w:t xml:space="preserve">as indicated </w:t>
            </w:r>
            <w:r w:rsidRPr="00DB4A90">
              <w:rPr>
                <w:rFonts w:ascii="Arial" w:hAnsi="Arial" w:cs="Arial"/>
                <w:sz w:val="20"/>
                <w:szCs w:val="20"/>
              </w:rPr>
              <w:t>above.</w:t>
            </w:r>
          </w:p>
        </w:tc>
        <w:tc>
          <w:tcPr>
            <w:tcW w:w="6871" w:type="dxa"/>
          </w:tcPr>
          <w:p w:rsidR="00F93CBA" w:rsidRPr="00DB4A90" w:rsidRDefault="00F93CBA" w:rsidP="00B65B14">
            <w:pPr>
              <w:rPr>
                <w:rFonts w:ascii="Arial" w:hAnsi="Arial" w:cs="Arial"/>
                <w:sz w:val="20"/>
                <w:szCs w:val="20"/>
              </w:rPr>
            </w:pPr>
            <w:r w:rsidRPr="00DB4A90">
              <w:rPr>
                <w:rFonts w:ascii="Arial" w:hAnsi="Arial" w:cs="Arial"/>
                <w:sz w:val="20"/>
                <w:szCs w:val="20"/>
              </w:rPr>
              <w:t>As above.</w:t>
            </w:r>
          </w:p>
        </w:tc>
        <w:tc>
          <w:tcPr>
            <w:tcW w:w="1167" w:type="dxa"/>
          </w:tcPr>
          <w:p w:rsidR="00F93CBA" w:rsidRPr="00DB4A90" w:rsidRDefault="00F93CBA" w:rsidP="00B65B14">
            <w:pPr>
              <w:rPr>
                <w:rFonts w:ascii="Arial" w:hAnsi="Arial" w:cs="Arial"/>
                <w:sz w:val="20"/>
                <w:szCs w:val="20"/>
              </w:rPr>
            </w:pPr>
            <w:r w:rsidRPr="00DB4A90">
              <w:rPr>
                <w:rFonts w:ascii="Arial" w:hAnsi="Arial" w:cs="Arial"/>
                <w:sz w:val="20"/>
                <w:szCs w:val="20"/>
              </w:rPr>
              <w:t>As above.</w:t>
            </w:r>
          </w:p>
        </w:tc>
      </w:tr>
      <w:tr w:rsidR="00F93CBA" w:rsidRPr="00DB4A90" w:rsidTr="00DE787A">
        <w:trPr>
          <w:trHeight w:val="178"/>
        </w:trPr>
        <w:tc>
          <w:tcPr>
            <w:tcW w:w="504" w:type="dxa"/>
          </w:tcPr>
          <w:p w:rsidR="00F93CBA" w:rsidRPr="00DB4A90" w:rsidRDefault="00DC6121" w:rsidP="00757CD5">
            <w:pPr>
              <w:rPr>
                <w:rFonts w:ascii="Arial" w:hAnsi="Arial" w:cs="Arial"/>
                <w:sz w:val="20"/>
                <w:szCs w:val="20"/>
              </w:rPr>
            </w:pPr>
            <w:r w:rsidRPr="00DB4A90">
              <w:rPr>
                <w:rFonts w:ascii="Arial" w:hAnsi="Arial" w:cs="Arial"/>
                <w:sz w:val="20"/>
                <w:szCs w:val="20"/>
              </w:rPr>
              <w:t>18</w:t>
            </w:r>
          </w:p>
        </w:tc>
        <w:tc>
          <w:tcPr>
            <w:tcW w:w="1652" w:type="dxa"/>
          </w:tcPr>
          <w:p w:rsidR="00F93CBA" w:rsidRPr="00DB4A90" w:rsidRDefault="00F93CBA" w:rsidP="00634F85">
            <w:pPr>
              <w:rPr>
                <w:rFonts w:ascii="Arial" w:hAnsi="Arial" w:cs="Arial"/>
                <w:sz w:val="20"/>
                <w:szCs w:val="20"/>
              </w:rPr>
            </w:pPr>
            <w:r w:rsidRPr="00DB4A90">
              <w:rPr>
                <w:rFonts w:ascii="Arial" w:hAnsi="Arial" w:cs="Arial"/>
                <w:sz w:val="20"/>
                <w:szCs w:val="20"/>
              </w:rPr>
              <w:t>LRA_002</w:t>
            </w:r>
          </w:p>
          <w:p w:rsidR="00F93CBA" w:rsidRPr="00DB4A90" w:rsidRDefault="00F93CBA" w:rsidP="00634F85">
            <w:pPr>
              <w:rPr>
                <w:rFonts w:ascii="Arial" w:hAnsi="Arial" w:cs="Arial"/>
                <w:sz w:val="20"/>
                <w:szCs w:val="20"/>
              </w:rPr>
            </w:pPr>
            <w:r w:rsidRPr="00DB4A90">
              <w:rPr>
                <w:rFonts w:ascii="Arial" w:hAnsi="Arial" w:cs="Arial"/>
                <w:sz w:val="20"/>
                <w:szCs w:val="20"/>
              </w:rPr>
              <w:t>Land reservation Acquisition</w:t>
            </w:r>
          </w:p>
        </w:tc>
        <w:tc>
          <w:tcPr>
            <w:tcW w:w="4803" w:type="dxa"/>
          </w:tcPr>
          <w:p w:rsidR="00F93CBA" w:rsidRPr="00DB4A90" w:rsidRDefault="00F93CBA" w:rsidP="003825D5">
            <w:pPr>
              <w:rPr>
                <w:rFonts w:ascii="Arial" w:eastAsia="Times New Roman" w:hAnsi="Arial" w:cs="Arial"/>
                <w:sz w:val="20"/>
                <w:szCs w:val="20"/>
                <w:lang w:val="en-US" w:eastAsia="en-AU"/>
              </w:rPr>
            </w:pPr>
            <w:r w:rsidRPr="00DB4A90">
              <w:rPr>
                <w:rFonts w:ascii="Arial" w:eastAsia="Times New Roman" w:hAnsi="Arial" w:cs="Arial"/>
                <w:sz w:val="20"/>
                <w:szCs w:val="20"/>
                <w:lang w:val="en-US" w:eastAsia="en-AU"/>
              </w:rPr>
              <w:t>Add western portions of 3A, 5A &amp; 7A Dettmann Ave and 41 Stuart St, Longueville (parts of Lot 4 DP317113, Lot 3 DP 317113, Lot 17 DP 1702 and Lot 2 DP 205722 respectively).</w:t>
            </w:r>
          </w:p>
        </w:tc>
        <w:tc>
          <w:tcPr>
            <w:tcW w:w="6871" w:type="dxa"/>
          </w:tcPr>
          <w:p w:rsidR="00F93CBA" w:rsidRPr="00DB4A90" w:rsidRDefault="00F93CBA" w:rsidP="00BA690A">
            <w:pPr>
              <w:rPr>
                <w:rFonts w:ascii="Arial" w:hAnsi="Arial" w:cs="Arial"/>
                <w:sz w:val="20"/>
                <w:szCs w:val="20"/>
              </w:rPr>
            </w:pPr>
            <w:r w:rsidRPr="00DB4A90">
              <w:rPr>
                <w:rFonts w:ascii="Arial" w:eastAsia="Times New Roman" w:hAnsi="Arial" w:cs="Arial"/>
                <w:sz w:val="20"/>
                <w:szCs w:val="20"/>
                <w:lang w:val="en-US" w:eastAsia="en-AU"/>
              </w:rPr>
              <w:t>For future public land acquisition of properties which have already been zoned E2 Environmental Conservation in anticipation.</w:t>
            </w:r>
          </w:p>
        </w:tc>
        <w:tc>
          <w:tcPr>
            <w:tcW w:w="1167" w:type="dxa"/>
          </w:tcPr>
          <w:p w:rsidR="00F93CBA" w:rsidRPr="00DB4A90" w:rsidRDefault="00F93CBA" w:rsidP="00BA690A">
            <w:pPr>
              <w:rPr>
                <w:rFonts w:ascii="Arial" w:hAnsi="Arial" w:cs="Arial"/>
                <w:sz w:val="20"/>
                <w:szCs w:val="20"/>
              </w:rPr>
            </w:pPr>
            <w:r w:rsidRPr="00DB4A90">
              <w:rPr>
                <w:rFonts w:ascii="Arial" w:hAnsi="Arial" w:cs="Arial"/>
                <w:sz w:val="20"/>
                <w:szCs w:val="20"/>
              </w:rPr>
              <w:t>Resolutn 1i</w:t>
            </w:r>
          </w:p>
        </w:tc>
      </w:tr>
      <w:tr w:rsidR="00F93CBA" w:rsidRPr="00DB4A90" w:rsidTr="00DE787A">
        <w:trPr>
          <w:trHeight w:val="178"/>
        </w:trPr>
        <w:tc>
          <w:tcPr>
            <w:tcW w:w="504" w:type="dxa"/>
          </w:tcPr>
          <w:p w:rsidR="00F93CBA" w:rsidRPr="00DB4A90" w:rsidRDefault="00DC6121" w:rsidP="00757CD5">
            <w:pPr>
              <w:rPr>
                <w:rFonts w:ascii="Arial" w:hAnsi="Arial" w:cs="Arial"/>
                <w:sz w:val="20"/>
                <w:szCs w:val="20"/>
              </w:rPr>
            </w:pPr>
            <w:r w:rsidRPr="00DB4A90">
              <w:rPr>
                <w:rFonts w:ascii="Arial" w:hAnsi="Arial" w:cs="Arial"/>
                <w:sz w:val="20"/>
                <w:szCs w:val="20"/>
              </w:rPr>
              <w:t>19</w:t>
            </w:r>
          </w:p>
        </w:tc>
        <w:tc>
          <w:tcPr>
            <w:tcW w:w="1652" w:type="dxa"/>
          </w:tcPr>
          <w:p w:rsidR="00F93CBA" w:rsidRPr="00DB4A90" w:rsidRDefault="00F93CBA" w:rsidP="00634F85">
            <w:pPr>
              <w:rPr>
                <w:rFonts w:ascii="Arial" w:hAnsi="Arial" w:cs="Arial"/>
                <w:sz w:val="20"/>
                <w:szCs w:val="20"/>
              </w:rPr>
            </w:pPr>
            <w:r w:rsidRPr="00DB4A90">
              <w:rPr>
                <w:rFonts w:ascii="Arial" w:hAnsi="Arial" w:cs="Arial"/>
                <w:sz w:val="20"/>
                <w:szCs w:val="20"/>
              </w:rPr>
              <w:t>CL_001</w:t>
            </w:r>
          </w:p>
          <w:p w:rsidR="00F93CBA" w:rsidRPr="00DB4A90" w:rsidRDefault="00F93CBA" w:rsidP="00634F85">
            <w:pPr>
              <w:rPr>
                <w:rFonts w:ascii="Arial" w:hAnsi="Arial" w:cs="Arial"/>
                <w:sz w:val="20"/>
                <w:szCs w:val="20"/>
              </w:rPr>
            </w:pPr>
            <w:r w:rsidRPr="00DB4A90">
              <w:rPr>
                <w:rFonts w:ascii="Arial" w:hAnsi="Arial" w:cs="Arial"/>
                <w:sz w:val="20"/>
                <w:szCs w:val="20"/>
              </w:rPr>
              <w:t>Foreshore, Riparian, Envnmentl Protectn</w:t>
            </w:r>
          </w:p>
        </w:tc>
        <w:tc>
          <w:tcPr>
            <w:tcW w:w="4803" w:type="dxa"/>
          </w:tcPr>
          <w:p w:rsidR="00F93CBA" w:rsidRPr="00DB4A90" w:rsidRDefault="00F93CBA" w:rsidP="00751AF3">
            <w:pPr>
              <w:rPr>
                <w:rFonts w:ascii="Arial" w:hAnsi="Arial" w:cs="Arial"/>
                <w:sz w:val="20"/>
                <w:szCs w:val="20"/>
                <w:lang w:val="en-US"/>
              </w:rPr>
            </w:pPr>
            <w:r w:rsidRPr="00DB4A90">
              <w:rPr>
                <w:rFonts w:ascii="Arial" w:eastAsia="Times New Roman" w:hAnsi="Arial" w:cs="Arial"/>
                <w:sz w:val="20"/>
                <w:szCs w:val="20"/>
                <w:lang w:val="en-US" w:eastAsia="en-AU"/>
              </w:rPr>
              <w:t xml:space="preserve">14 Gay St: Apply an Environmental Protection (EP) layer over the southern portion, on the </w:t>
            </w:r>
            <w:r w:rsidRPr="00DB4A90">
              <w:rPr>
                <w:rFonts w:ascii="Arial" w:hAnsi="Arial" w:cs="Arial"/>
                <w:sz w:val="20"/>
                <w:szCs w:val="20"/>
              </w:rPr>
              <w:t>Environmental Protection Land Map. The</w:t>
            </w:r>
            <w:r w:rsidRPr="00DB4A90">
              <w:rPr>
                <w:rFonts w:ascii="Arial" w:hAnsi="Arial" w:cs="Arial"/>
                <w:sz w:val="20"/>
                <w:szCs w:val="20"/>
                <w:lang w:val="en-US"/>
              </w:rPr>
              <w:t xml:space="preserve"> EP layer is applied to private properties under the Standard LEP.</w:t>
            </w:r>
          </w:p>
          <w:p w:rsidR="00F93CBA" w:rsidRPr="00DB4A90" w:rsidRDefault="00F93CBA" w:rsidP="00751AF3">
            <w:pPr>
              <w:rPr>
                <w:rFonts w:ascii="Arial" w:hAnsi="Arial" w:cs="Arial"/>
                <w:sz w:val="20"/>
                <w:szCs w:val="20"/>
              </w:rPr>
            </w:pPr>
          </w:p>
        </w:tc>
        <w:tc>
          <w:tcPr>
            <w:tcW w:w="6871" w:type="dxa"/>
          </w:tcPr>
          <w:p w:rsidR="00F93CBA" w:rsidRPr="00DB4A90" w:rsidRDefault="00F93CBA" w:rsidP="00751AF3">
            <w:pPr>
              <w:rPr>
                <w:rFonts w:ascii="Arial" w:hAnsi="Arial" w:cs="Arial"/>
                <w:sz w:val="20"/>
                <w:szCs w:val="20"/>
              </w:rPr>
            </w:pPr>
            <w:r w:rsidRPr="00DB4A90">
              <w:rPr>
                <w:rFonts w:ascii="Arial" w:hAnsi="Arial" w:cs="Arial"/>
                <w:sz w:val="20"/>
                <w:szCs w:val="20"/>
                <w:lang w:val="en-US"/>
              </w:rPr>
              <w:t xml:space="preserve">Council’s Open Space &amp; Urban Services Division and the Lane Cove Bushland Management Advisory Committee have identified the site as an integral part of Upper Stringybark Reserve, valuable ecologically and aesthetically. </w:t>
            </w:r>
            <w:r w:rsidRPr="00DB4A90">
              <w:rPr>
                <w:rFonts w:ascii="Arial" w:hAnsi="Arial" w:cs="Arial"/>
                <w:sz w:val="20"/>
                <w:szCs w:val="20"/>
              </w:rPr>
              <w:t>This includes an Endangered Ecological Community – Sydney Turpentine Ironbark Forest. The site is 2,790m2 in total. A developable area of around 1,500m2 would remain.</w:t>
            </w:r>
          </w:p>
        </w:tc>
        <w:tc>
          <w:tcPr>
            <w:tcW w:w="1167" w:type="dxa"/>
          </w:tcPr>
          <w:p w:rsidR="00F93CBA" w:rsidRPr="00DB4A90" w:rsidRDefault="00F93CBA" w:rsidP="00751AF3">
            <w:pPr>
              <w:rPr>
                <w:rFonts w:ascii="Arial" w:hAnsi="Arial" w:cs="Arial"/>
                <w:sz w:val="20"/>
                <w:szCs w:val="20"/>
              </w:rPr>
            </w:pPr>
            <w:r w:rsidRPr="00DB4A90">
              <w:rPr>
                <w:rFonts w:ascii="Arial" w:hAnsi="Arial" w:cs="Arial"/>
                <w:sz w:val="20"/>
                <w:szCs w:val="20"/>
              </w:rPr>
              <w:t>Resolutn 1e</w:t>
            </w:r>
          </w:p>
        </w:tc>
      </w:tr>
      <w:tr w:rsidR="000B576D" w:rsidRPr="00DB4A90" w:rsidTr="00DE787A">
        <w:trPr>
          <w:trHeight w:val="178"/>
        </w:trPr>
        <w:tc>
          <w:tcPr>
            <w:tcW w:w="504" w:type="dxa"/>
          </w:tcPr>
          <w:p w:rsidR="000B576D" w:rsidRPr="00DB4A90" w:rsidRDefault="000B576D" w:rsidP="00757CD5">
            <w:pPr>
              <w:rPr>
                <w:rFonts w:ascii="Arial" w:hAnsi="Arial" w:cs="Arial"/>
                <w:sz w:val="20"/>
                <w:szCs w:val="20"/>
              </w:rPr>
            </w:pPr>
            <w:r w:rsidRPr="00DB4A90">
              <w:rPr>
                <w:rFonts w:ascii="Arial" w:hAnsi="Arial" w:cs="Arial"/>
                <w:sz w:val="20"/>
                <w:szCs w:val="20"/>
              </w:rPr>
              <w:t>20</w:t>
            </w:r>
          </w:p>
        </w:tc>
        <w:tc>
          <w:tcPr>
            <w:tcW w:w="1652" w:type="dxa"/>
          </w:tcPr>
          <w:p w:rsidR="000B576D" w:rsidRPr="00DB4A90" w:rsidRDefault="000B576D" w:rsidP="00634F85">
            <w:pPr>
              <w:rPr>
                <w:rFonts w:ascii="Arial" w:hAnsi="Arial" w:cs="Arial"/>
                <w:sz w:val="20"/>
                <w:szCs w:val="20"/>
              </w:rPr>
            </w:pPr>
            <w:r w:rsidRPr="00DB4A90">
              <w:rPr>
                <w:rFonts w:ascii="Arial" w:hAnsi="Arial" w:cs="Arial"/>
                <w:sz w:val="20"/>
                <w:szCs w:val="20"/>
              </w:rPr>
              <w:t>General</w:t>
            </w:r>
          </w:p>
        </w:tc>
        <w:tc>
          <w:tcPr>
            <w:tcW w:w="4803" w:type="dxa"/>
          </w:tcPr>
          <w:p w:rsidR="000B576D" w:rsidRPr="00DB4A90" w:rsidRDefault="000B576D" w:rsidP="00751AF3">
            <w:pPr>
              <w:rPr>
                <w:rFonts w:ascii="Arial" w:eastAsia="Times New Roman" w:hAnsi="Arial" w:cs="Arial"/>
                <w:sz w:val="20"/>
                <w:szCs w:val="20"/>
                <w:lang w:val="en-US" w:eastAsia="en-AU"/>
              </w:rPr>
            </w:pPr>
            <w:r w:rsidRPr="00DB4A90">
              <w:rPr>
                <w:rFonts w:ascii="Arial" w:eastAsia="Times New Roman" w:hAnsi="Arial" w:cs="Arial"/>
                <w:sz w:val="20"/>
                <w:szCs w:val="20"/>
                <w:lang w:val="en-US" w:eastAsia="en-AU"/>
              </w:rPr>
              <w:t>Other amendments for editing as identified for exhibition.</w:t>
            </w:r>
          </w:p>
        </w:tc>
        <w:tc>
          <w:tcPr>
            <w:tcW w:w="6871" w:type="dxa"/>
          </w:tcPr>
          <w:p w:rsidR="000B576D" w:rsidRPr="00DB4A90" w:rsidRDefault="000B576D" w:rsidP="00751AF3">
            <w:pPr>
              <w:rPr>
                <w:rFonts w:ascii="Arial" w:hAnsi="Arial" w:cs="Arial"/>
                <w:sz w:val="20"/>
                <w:szCs w:val="20"/>
                <w:lang w:val="en-US"/>
              </w:rPr>
            </w:pPr>
          </w:p>
        </w:tc>
        <w:tc>
          <w:tcPr>
            <w:tcW w:w="1167" w:type="dxa"/>
          </w:tcPr>
          <w:p w:rsidR="000B576D" w:rsidRPr="00DB4A90" w:rsidRDefault="000B576D" w:rsidP="00751AF3">
            <w:pPr>
              <w:rPr>
                <w:rFonts w:ascii="Arial" w:hAnsi="Arial" w:cs="Arial"/>
                <w:sz w:val="20"/>
                <w:szCs w:val="20"/>
              </w:rPr>
            </w:pPr>
          </w:p>
        </w:tc>
      </w:tr>
    </w:tbl>
    <w:p w:rsidR="00181F30" w:rsidRPr="00DB4A90" w:rsidRDefault="00181F30" w:rsidP="00181F30">
      <w:pPr>
        <w:spacing w:after="0" w:line="240" w:lineRule="auto"/>
        <w:rPr>
          <w:rFonts w:ascii="Arial" w:eastAsia="Times New Roman" w:hAnsi="Arial" w:cs="Arial"/>
          <w:sz w:val="20"/>
          <w:szCs w:val="20"/>
          <w:lang w:eastAsia="en-AU"/>
        </w:rPr>
      </w:pPr>
      <w:r w:rsidRPr="00DB4A90">
        <w:rPr>
          <w:rFonts w:ascii="Arial" w:eastAsia="Times New Roman" w:hAnsi="Arial" w:cs="Arial"/>
          <w:sz w:val="20"/>
          <w:szCs w:val="20"/>
          <w:lang w:val="en-US" w:eastAsia="en-AU"/>
        </w:rPr>
        <w:t> </w:t>
      </w:r>
    </w:p>
    <w:p w:rsidR="00181F30" w:rsidRPr="00DB4A90" w:rsidRDefault="00181F30" w:rsidP="00181F30">
      <w:pPr>
        <w:spacing w:before="120" w:after="0" w:line="240" w:lineRule="auto"/>
        <w:ind w:left="720" w:hanging="360"/>
        <w:rPr>
          <w:rFonts w:ascii="Arial" w:eastAsia="Times New Roman" w:hAnsi="Arial" w:cs="Arial"/>
          <w:sz w:val="20"/>
          <w:szCs w:val="20"/>
          <w:lang w:val="en-US" w:eastAsia="en-AU"/>
        </w:rPr>
      </w:pPr>
    </w:p>
    <w:p w:rsidR="003B6094" w:rsidRPr="00DB4A90" w:rsidRDefault="003B6094" w:rsidP="00181F30">
      <w:pPr>
        <w:spacing w:before="120" w:after="0" w:line="240" w:lineRule="auto"/>
        <w:ind w:left="720" w:hanging="360"/>
        <w:rPr>
          <w:rFonts w:ascii="Arial" w:eastAsia="Times New Roman" w:hAnsi="Arial" w:cs="Arial"/>
          <w:sz w:val="20"/>
          <w:szCs w:val="20"/>
          <w:lang w:val="en-US" w:eastAsia="en-AU"/>
        </w:rPr>
      </w:pPr>
    </w:p>
    <w:p w:rsidR="003B6094" w:rsidRPr="00DB4A90" w:rsidRDefault="003B6094" w:rsidP="00181F30">
      <w:pPr>
        <w:spacing w:before="120" w:after="0" w:line="240" w:lineRule="auto"/>
        <w:ind w:left="720" w:hanging="360"/>
        <w:rPr>
          <w:rFonts w:ascii="Arial" w:eastAsia="Times New Roman" w:hAnsi="Arial" w:cs="Arial"/>
          <w:sz w:val="20"/>
          <w:szCs w:val="20"/>
          <w:lang w:val="en-US" w:eastAsia="en-AU"/>
        </w:rPr>
      </w:pPr>
    </w:p>
    <w:p w:rsidR="003B6094" w:rsidRPr="00DB4A90" w:rsidRDefault="00236DAA" w:rsidP="003B6094">
      <w:pPr>
        <w:spacing w:before="120" w:after="0" w:line="240" w:lineRule="auto"/>
        <w:ind w:left="720" w:hanging="360"/>
        <w:jc w:val="right"/>
        <w:rPr>
          <w:rFonts w:ascii="Arial" w:eastAsia="Times New Roman" w:hAnsi="Arial" w:cs="Arial"/>
          <w:sz w:val="20"/>
          <w:szCs w:val="20"/>
          <w:lang w:val="en-US" w:eastAsia="en-AU"/>
        </w:rPr>
      </w:pPr>
      <w:r w:rsidRPr="00DB4A90">
        <w:rPr>
          <w:rFonts w:ascii="Arial" w:eastAsia="Times New Roman" w:hAnsi="Arial" w:cs="Arial"/>
          <w:sz w:val="20"/>
          <w:szCs w:val="20"/>
          <w:lang w:val="en-US" w:eastAsia="en-AU"/>
        </w:rPr>
        <w:t>19880/1</w:t>
      </w:r>
      <w:r w:rsidR="003B6094" w:rsidRPr="00DB4A90">
        <w:rPr>
          <w:rFonts w:ascii="Arial" w:eastAsia="Times New Roman" w:hAnsi="Arial" w:cs="Arial"/>
          <w:sz w:val="20"/>
          <w:szCs w:val="20"/>
          <w:lang w:val="en-US" w:eastAsia="en-AU"/>
        </w:rPr>
        <w:t>6</w:t>
      </w:r>
    </w:p>
    <w:p w:rsidR="003B6094" w:rsidRPr="00DB4A90" w:rsidRDefault="003B6094" w:rsidP="00181F30">
      <w:pPr>
        <w:spacing w:before="120" w:after="0" w:line="240" w:lineRule="auto"/>
        <w:ind w:left="720" w:hanging="360"/>
        <w:rPr>
          <w:rFonts w:ascii="Arial" w:eastAsia="Times New Roman" w:hAnsi="Arial" w:cs="Arial"/>
          <w:sz w:val="20"/>
          <w:szCs w:val="20"/>
          <w:lang w:eastAsia="en-AU"/>
        </w:rPr>
      </w:pPr>
    </w:p>
    <w:p w:rsidR="00181F30" w:rsidRPr="00DB4A90" w:rsidRDefault="00181F30" w:rsidP="00181F30">
      <w:pPr>
        <w:rPr>
          <w:rFonts w:ascii="Arial" w:hAnsi="Arial" w:cs="Arial"/>
          <w:sz w:val="20"/>
          <w:szCs w:val="20"/>
        </w:rPr>
      </w:pPr>
    </w:p>
    <w:sectPr w:rsidR="00181F30" w:rsidRPr="00DB4A90" w:rsidSect="00A13333">
      <w:pgSz w:w="16838" w:h="11906" w:orient="landscape"/>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324E0"/>
    <w:multiLevelType w:val="hybridMultilevel"/>
    <w:tmpl w:val="BFBC0FFC"/>
    <w:lvl w:ilvl="0" w:tplc="56648E12">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C2D7797"/>
    <w:multiLevelType w:val="hybridMultilevel"/>
    <w:tmpl w:val="AFC460A4"/>
    <w:lvl w:ilvl="0" w:tplc="599C2BB2">
      <w:start w:val="1"/>
      <w:numFmt w:val="lowerLetter"/>
      <w:lvlText w:val="%1)"/>
      <w:lvlJc w:val="left"/>
      <w:pPr>
        <w:ind w:left="786" w:hanging="360"/>
      </w:pPr>
      <w:rPr>
        <w:rFonts w:eastAsia="Times New Roman" w:cs="Arial"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 w15:restartNumberingAfterBreak="0">
    <w:nsid w:val="2E1D5867"/>
    <w:multiLevelType w:val="hybridMultilevel"/>
    <w:tmpl w:val="CD303172"/>
    <w:lvl w:ilvl="0" w:tplc="F2A671D8">
      <w:start w:val="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9F1999"/>
    <w:multiLevelType w:val="hybridMultilevel"/>
    <w:tmpl w:val="8F9E43F4"/>
    <w:lvl w:ilvl="0" w:tplc="2A8211AE">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5E35D9A"/>
    <w:multiLevelType w:val="hybridMultilevel"/>
    <w:tmpl w:val="FE7EDD2E"/>
    <w:lvl w:ilvl="0" w:tplc="FC1087B0">
      <w:start w:val="3"/>
      <w:numFmt w:val="bullet"/>
      <w:lvlText w:val=""/>
      <w:lvlJc w:val="left"/>
      <w:pPr>
        <w:ind w:left="405" w:hanging="360"/>
      </w:pPr>
      <w:rPr>
        <w:rFonts w:ascii="Symbol" w:eastAsia="Times New Roman" w:hAnsi="Symbol" w:cs="Aria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F30"/>
    <w:rsid w:val="0000324D"/>
    <w:rsid w:val="00004E8C"/>
    <w:rsid w:val="000157A2"/>
    <w:rsid w:val="00021703"/>
    <w:rsid w:val="000218F3"/>
    <w:rsid w:val="000225B3"/>
    <w:rsid w:val="00052A6A"/>
    <w:rsid w:val="00055C44"/>
    <w:rsid w:val="000767E0"/>
    <w:rsid w:val="00083B28"/>
    <w:rsid w:val="00085195"/>
    <w:rsid w:val="0009501F"/>
    <w:rsid w:val="000B576D"/>
    <w:rsid w:val="000B5E3E"/>
    <w:rsid w:val="000E271F"/>
    <w:rsid w:val="000F2BD7"/>
    <w:rsid w:val="000F2C54"/>
    <w:rsid w:val="000F31B6"/>
    <w:rsid w:val="0013513C"/>
    <w:rsid w:val="00137089"/>
    <w:rsid w:val="001600E1"/>
    <w:rsid w:val="00181F30"/>
    <w:rsid w:val="001A1F32"/>
    <w:rsid w:val="001D1ED8"/>
    <w:rsid w:val="001E7637"/>
    <w:rsid w:val="001F41C8"/>
    <w:rsid w:val="002042A3"/>
    <w:rsid w:val="00205028"/>
    <w:rsid w:val="002050EF"/>
    <w:rsid w:val="002073DB"/>
    <w:rsid w:val="00211215"/>
    <w:rsid w:val="00212ACC"/>
    <w:rsid w:val="0022707D"/>
    <w:rsid w:val="00231C91"/>
    <w:rsid w:val="00236DAA"/>
    <w:rsid w:val="00241E35"/>
    <w:rsid w:val="0025026E"/>
    <w:rsid w:val="00254D05"/>
    <w:rsid w:val="002550EA"/>
    <w:rsid w:val="00256782"/>
    <w:rsid w:val="00260810"/>
    <w:rsid w:val="0026352E"/>
    <w:rsid w:val="00281CC8"/>
    <w:rsid w:val="0028422C"/>
    <w:rsid w:val="00294BB6"/>
    <w:rsid w:val="002B40D7"/>
    <w:rsid w:val="002C447B"/>
    <w:rsid w:val="002C6AE5"/>
    <w:rsid w:val="002D124F"/>
    <w:rsid w:val="002F37E2"/>
    <w:rsid w:val="002F60A8"/>
    <w:rsid w:val="002F68C4"/>
    <w:rsid w:val="00333F45"/>
    <w:rsid w:val="00375CB1"/>
    <w:rsid w:val="003825D5"/>
    <w:rsid w:val="00390290"/>
    <w:rsid w:val="003905B5"/>
    <w:rsid w:val="00391AD4"/>
    <w:rsid w:val="0039365F"/>
    <w:rsid w:val="003967FC"/>
    <w:rsid w:val="003B205F"/>
    <w:rsid w:val="003B6094"/>
    <w:rsid w:val="003D0C70"/>
    <w:rsid w:val="003D7689"/>
    <w:rsid w:val="003F206C"/>
    <w:rsid w:val="00401AB9"/>
    <w:rsid w:val="00410191"/>
    <w:rsid w:val="00430A3C"/>
    <w:rsid w:val="00433511"/>
    <w:rsid w:val="00443E65"/>
    <w:rsid w:val="004673D8"/>
    <w:rsid w:val="0049678D"/>
    <w:rsid w:val="004B3CAB"/>
    <w:rsid w:val="004C3240"/>
    <w:rsid w:val="004E5329"/>
    <w:rsid w:val="004E794A"/>
    <w:rsid w:val="005012C9"/>
    <w:rsid w:val="00513826"/>
    <w:rsid w:val="005163D2"/>
    <w:rsid w:val="005400A0"/>
    <w:rsid w:val="0054285A"/>
    <w:rsid w:val="005458BA"/>
    <w:rsid w:val="005529F2"/>
    <w:rsid w:val="00562C11"/>
    <w:rsid w:val="00566411"/>
    <w:rsid w:val="005724C8"/>
    <w:rsid w:val="00592FFE"/>
    <w:rsid w:val="00596085"/>
    <w:rsid w:val="005B604F"/>
    <w:rsid w:val="005C4B15"/>
    <w:rsid w:val="005D09F2"/>
    <w:rsid w:val="005E3BF9"/>
    <w:rsid w:val="005F71A4"/>
    <w:rsid w:val="00604724"/>
    <w:rsid w:val="006102BA"/>
    <w:rsid w:val="00611364"/>
    <w:rsid w:val="00634D2D"/>
    <w:rsid w:val="00634F85"/>
    <w:rsid w:val="00654783"/>
    <w:rsid w:val="00661250"/>
    <w:rsid w:val="00667906"/>
    <w:rsid w:val="006A0457"/>
    <w:rsid w:val="006A3E7E"/>
    <w:rsid w:val="006B2592"/>
    <w:rsid w:val="006B2A2B"/>
    <w:rsid w:val="006B2A76"/>
    <w:rsid w:val="006C2F87"/>
    <w:rsid w:val="006D3FD7"/>
    <w:rsid w:val="006D5F97"/>
    <w:rsid w:val="006D6739"/>
    <w:rsid w:val="006E7970"/>
    <w:rsid w:val="006F1426"/>
    <w:rsid w:val="006F2904"/>
    <w:rsid w:val="006F313E"/>
    <w:rsid w:val="00707F8E"/>
    <w:rsid w:val="007175F9"/>
    <w:rsid w:val="0072585F"/>
    <w:rsid w:val="00726A1E"/>
    <w:rsid w:val="007325D9"/>
    <w:rsid w:val="0073310E"/>
    <w:rsid w:val="0073639B"/>
    <w:rsid w:val="00751AF3"/>
    <w:rsid w:val="00753DA3"/>
    <w:rsid w:val="00757B24"/>
    <w:rsid w:val="00757CD5"/>
    <w:rsid w:val="00793FF9"/>
    <w:rsid w:val="007B279E"/>
    <w:rsid w:val="007B67A3"/>
    <w:rsid w:val="007C1F67"/>
    <w:rsid w:val="007D2149"/>
    <w:rsid w:val="007E6DFE"/>
    <w:rsid w:val="007F4592"/>
    <w:rsid w:val="00820D69"/>
    <w:rsid w:val="00822FF1"/>
    <w:rsid w:val="00846FC9"/>
    <w:rsid w:val="008963B0"/>
    <w:rsid w:val="008B111F"/>
    <w:rsid w:val="008C5B8E"/>
    <w:rsid w:val="008E46CF"/>
    <w:rsid w:val="008E536D"/>
    <w:rsid w:val="00921045"/>
    <w:rsid w:val="0092127C"/>
    <w:rsid w:val="009372F5"/>
    <w:rsid w:val="009709D0"/>
    <w:rsid w:val="00975BD5"/>
    <w:rsid w:val="0098149D"/>
    <w:rsid w:val="00985B59"/>
    <w:rsid w:val="009A72E9"/>
    <w:rsid w:val="009D14F3"/>
    <w:rsid w:val="009E7F4E"/>
    <w:rsid w:val="00A001E6"/>
    <w:rsid w:val="00A13333"/>
    <w:rsid w:val="00A4136C"/>
    <w:rsid w:val="00A53B52"/>
    <w:rsid w:val="00A67CD2"/>
    <w:rsid w:val="00A91D8C"/>
    <w:rsid w:val="00AA195B"/>
    <w:rsid w:val="00AB225E"/>
    <w:rsid w:val="00AE5FA3"/>
    <w:rsid w:val="00AF3BAE"/>
    <w:rsid w:val="00B047A3"/>
    <w:rsid w:val="00B0697D"/>
    <w:rsid w:val="00B31AF5"/>
    <w:rsid w:val="00B44C8E"/>
    <w:rsid w:val="00B453FB"/>
    <w:rsid w:val="00B56791"/>
    <w:rsid w:val="00B65B14"/>
    <w:rsid w:val="00B754FB"/>
    <w:rsid w:val="00B81260"/>
    <w:rsid w:val="00BA0868"/>
    <w:rsid w:val="00BA690A"/>
    <w:rsid w:val="00BB150D"/>
    <w:rsid w:val="00BD58AB"/>
    <w:rsid w:val="00BE5F84"/>
    <w:rsid w:val="00BF2D22"/>
    <w:rsid w:val="00C04695"/>
    <w:rsid w:val="00C17CCF"/>
    <w:rsid w:val="00C377A7"/>
    <w:rsid w:val="00C4740A"/>
    <w:rsid w:val="00C50F40"/>
    <w:rsid w:val="00C727B7"/>
    <w:rsid w:val="00C73C20"/>
    <w:rsid w:val="00C7425E"/>
    <w:rsid w:val="00C76FEE"/>
    <w:rsid w:val="00C947DD"/>
    <w:rsid w:val="00CD0EFD"/>
    <w:rsid w:val="00CE01B3"/>
    <w:rsid w:val="00D07EF9"/>
    <w:rsid w:val="00D12851"/>
    <w:rsid w:val="00D2529D"/>
    <w:rsid w:val="00DB4A90"/>
    <w:rsid w:val="00DC045A"/>
    <w:rsid w:val="00DC1B32"/>
    <w:rsid w:val="00DC38D9"/>
    <w:rsid w:val="00DC6121"/>
    <w:rsid w:val="00DC6F8B"/>
    <w:rsid w:val="00DD42EE"/>
    <w:rsid w:val="00DD7C49"/>
    <w:rsid w:val="00DE787A"/>
    <w:rsid w:val="00DF544C"/>
    <w:rsid w:val="00E02017"/>
    <w:rsid w:val="00E42FCC"/>
    <w:rsid w:val="00E70BB9"/>
    <w:rsid w:val="00E828F6"/>
    <w:rsid w:val="00E9408A"/>
    <w:rsid w:val="00ED09B9"/>
    <w:rsid w:val="00EE1C35"/>
    <w:rsid w:val="00F166C6"/>
    <w:rsid w:val="00F25256"/>
    <w:rsid w:val="00F27FA1"/>
    <w:rsid w:val="00F50D3C"/>
    <w:rsid w:val="00F53F89"/>
    <w:rsid w:val="00F64B87"/>
    <w:rsid w:val="00F83293"/>
    <w:rsid w:val="00F86C74"/>
    <w:rsid w:val="00F93CBA"/>
    <w:rsid w:val="00F9532B"/>
    <w:rsid w:val="00FA6D33"/>
    <w:rsid w:val="00FB5969"/>
    <w:rsid w:val="00FC2905"/>
    <w:rsid w:val="00FC53C4"/>
    <w:rsid w:val="00FD40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15763E-7D97-4232-98E1-15E085F8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B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1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1260"/>
    <w:pPr>
      <w:spacing w:after="200" w:line="276" w:lineRule="auto"/>
      <w:ind w:left="720"/>
      <w:contextualSpacing/>
    </w:pPr>
  </w:style>
  <w:style w:type="paragraph" w:customStyle="1" w:styleId="tparagraph">
    <w:name w:val="tparagraph"/>
    <w:basedOn w:val="Normal"/>
    <w:rsid w:val="00333F45"/>
    <w:pPr>
      <w:spacing w:after="0" w:line="240" w:lineRule="auto"/>
    </w:pPr>
    <w:rPr>
      <w:rFonts w:ascii="Times New Roman" w:eastAsia="Times New Roman" w:hAnsi="Times New Roman"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896938">
      <w:bodyDiv w:val="1"/>
      <w:marLeft w:val="0"/>
      <w:marRight w:val="0"/>
      <w:marTop w:val="0"/>
      <w:marBottom w:val="0"/>
      <w:divBdr>
        <w:top w:val="none" w:sz="0" w:space="0" w:color="auto"/>
        <w:left w:val="none" w:sz="0" w:space="0" w:color="auto"/>
        <w:bottom w:val="none" w:sz="0" w:space="0" w:color="auto"/>
        <w:right w:val="none" w:sz="0" w:space="0" w:color="auto"/>
      </w:divBdr>
    </w:div>
    <w:div w:id="90638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Lane Cove Council</Company>
  <LinksUpToDate>false</LinksUpToDate>
  <CharactersWithSpaces>6154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Bashford</dc:creator>
  <cp:lastModifiedBy>Lauren Templeman</cp:lastModifiedBy>
  <cp:revision>2</cp:revision>
  <cp:lastPrinted>2016-04-19T03:59:00Z</cp:lastPrinted>
  <dcterms:created xsi:type="dcterms:W3CDTF">2016-06-16T00:46:00Z</dcterms:created>
  <dcterms:modified xsi:type="dcterms:W3CDTF">2016-06-16T00:46:00Z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A3374305</vt:lpwstr>
  </property>
  <property fmtid="{D5CDD505-2E9C-101B-9397-08002B2CF9AE}" pid="4" name="Objective-Title">
    <vt:lpwstr>3 - Proposed Amendments (Attachment B)</vt:lpwstr>
  </property>
  <property fmtid="{D5CDD505-2E9C-101B-9397-08002B2CF9AE}" pid="5" name="Objective-Comment">
    <vt:lpwstr/>
  </property>
  <property fmtid="{D5CDD505-2E9C-101B-9397-08002B2CF9AE}" pid="6" name="Objective-CreationStamp">
    <vt:filetime>2016-06-10T04:49:36Z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2016-06-10T05:01:06Z</vt:filetime>
  </property>
  <property fmtid="{D5CDD505-2E9C-101B-9397-08002B2CF9AE}" pid="10" name="Objective-ModificationStamp">
    <vt:filetime>2016-06-10T05:01:08Z</vt:filetime>
  </property>
  <property fmtid="{D5CDD505-2E9C-101B-9397-08002B2CF9AE}" pid="11" name="Objective-Owner">
    <vt:lpwstr>Chantelle Chow</vt:lpwstr>
  </property>
  <property fmtid="{D5CDD505-2E9C-101B-9397-08002B2CF9AE}" pid="12" name="Objective-Path">
    <vt:lpwstr>Objective Global Folder:1. Planning &amp; Environment (DP&amp;E):1. Planning &amp; Environment File Plan (DP&amp;E):PLANNING SYSTEM OPERATIONS MANAGEMENT:PLANNING ACTIVITY - SYDNEY EAST:Lane Cove:Local Environmental Plans:Lane Cove - Planning Proposal - LEP Review 2016:2</vt:lpwstr>
  </property>
  <property fmtid="{D5CDD505-2E9C-101B-9397-08002B2CF9AE}" pid="13" name="Objective-Parent">
    <vt:lpwstr>2 - Planning Proposal</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16/08213</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UNCLASSIFIED</vt:lpwstr>
  </property>
  <property fmtid="{D5CDD505-2E9C-101B-9397-08002B2CF9AE}" pid="23" name="Objective-Vital Record [system]">
    <vt:lpwstr>No</vt:lpwstr>
  </property>
</Properties>
</file>